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738" w:rsidRDefault="00677738" w:rsidP="006C5F1D">
      <w:pPr>
        <w:autoSpaceDE w:val="0"/>
        <w:autoSpaceDN w:val="0"/>
        <w:adjustRightInd w:val="0"/>
        <w:spacing w:line="360" w:lineRule="auto"/>
        <w:ind w:left="-284" w:right="-234"/>
        <w:jc w:val="center"/>
        <w:rPr>
          <w:rFonts w:ascii="Arial" w:hAnsi="Arial" w:cs="Arial"/>
          <w:b/>
          <w:szCs w:val="24"/>
          <w:lang w:val="es-AR"/>
        </w:rPr>
      </w:pPr>
      <w:r>
        <w:rPr>
          <w:rFonts w:ascii="Arial" w:hAnsi="Arial" w:cs="Arial"/>
          <w:b/>
          <w:szCs w:val="24"/>
          <w:lang w:val="es-AR"/>
        </w:rPr>
        <w:t xml:space="preserve">La </w:t>
      </w:r>
      <w:r w:rsidR="00761301">
        <w:rPr>
          <w:rFonts w:ascii="Arial" w:hAnsi="Arial" w:cs="Arial"/>
          <w:b/>
          <w:szCs w:val="24"/>
          <w:lang w:val="es-AR"/>
        </w:rPr>
        <w:t>interpretación del a</w:t>
      </w:r>
      <w:r>
        <w:rPr>
          <w:rFonts w:ascii="Arial" w:hAnsi="Arial" w:cs="Arial"/>
          <w:b/>
          <w:szCs w:val="24"/>
          <w:lang w:val="es-AR"/>
        </w:rPr>
        <w:t>rt. 526 del CCyC</w:t>
      </w:r>
      <w:r w:rsidR="00761301">
        <w:rPr>
          <w:rFonts w:ascii="Arial" w:hAnsi="Arial" w:cs="Arial"/>
          <w:b/>
          <w:szCs w:val="24"/>
          <w:lang w:val="es-AR"/>
        </w:rPr>
        <w:t xml:space="preserve"> existiendo hijos menores de edad</w:t>
      </w:r>
      <w:r w:rsidR="006C5F1D">
        <w:rPr>
          <w:rStyle w:val="Refdenotaalpie"/>
          <w:rFonts w:ascii="Arial" w:hAnsi="Arial" w:cs="Arial"/>
          <w:b/>
          <w:szCs w:val="24"/>
          <w:lang w:val="es-AR"/>
        </w:rPr>
        <w:footnoteReference w:id="2"/>
      </w:r>
    </w:p>
    <w:p w:rsidR="00A46616" w:rsidRDefault="00A46616" w:rsidP="00123718">
      <w:pPr>
        <w:autoSpaceDE w:val="0"/>
        <w:autoSpaceDN w:val="0"/>
        <w:adjustRightInd w:val="0"/>
        <w:spacing w:line="360" w:lineRule="auto"/>
        <w:ind w:left="-284" w:right="-234"/>
        <w:jc w:val="both"/>
        <w:rPr>
          <w:rFonts w:ascii="Arial" w:hAnsi="Arial" w:cs="Arial"/>
          <w:b/>
          <w:szCs w:val="24"/>
          <w:lang w:val="es-AR"/>
        </w:rPr>
      </w:pPr>
    </w:p>
    <w:p w:rsidR="008A7178" w:rsidRPr="00123718" w:rsidRDefault="008A7178" w:rsidP="00123718">
      <w:pPr>
        <w:autoSpaceDE w:val="0"/>
        <w:autoSpaceDN w:val="0"/>
        <w:adjustRightInd w:val="0"/>
        <w:spacing w:line="360" w:lineRule="auto"/>
        <w:ind w:left="-284" w:right="-234"/>
        <w:jc w:val="both"/>
        <w:rPr>
          <w:rFonts w:ascii="Arial" w:hAnsi="Arial" w:cs="Arial"/>
          <w:szCs w:val="24"/>
          <w:lang w:val="es-AR"/>
        </w:rPr>
      </w:pPr>
      <w:r w:rsidRPr="00123718">
        <w:rPr>
          <w:rFonts w:ascii="Arial" w:hAnsi="Arial" w:cs="Arial"/>
          <w:szCs w:val="24"/>
          <w:lang w:val="es-AR"/>
        </w:rPr>
        <w:t xml:space="preserve">La vivienda es un derecho </w:t>
      </w:r>
      <w:r w:rsidR="006F3CC5" w:rsidRPr="00123718">
        <w:rPr>
          <w:rFonts w:ascii="Arial" w:hAnsi="Arial" w:cs="Arial"/>
          <w:szCs w:val="24"/>
          <w:lang w:val="es-AR"/>
        </w:rPr>
        <w:t xml:space="preserve">humano </w:t>
      </w:r>
      <w:r w:rsidRPr="00123718">
        <w:rPr>
          <w:rFonts w:ascii="Arial" w:hAnsi="Arial" w:cs="Arial"/>
          <w:szCs w:val="24"/>
          <w:lang w:val="es-AR"/>
        </w:rPr>
        <w:t>imprescindible de to</w:t>
      </w:r>
      <w:r w:rsidR="00A54FF6" w:rsidRPr="00123718">
        <w:rPr>
          <w:rFonts w:ascii="Arial" w:hAnsi="Arial" w:cs="Arial"/>
          <w:szCs w:val="24"/>
          <w:lang w:val="es-AR"/>
        </w:rPr>
        <w:t xml:space="preserve">da persona humana y a partir </w:t>
      </w:r>
      <w:r w:rsidR="006F3CC5" w:rsidRPr="00123718">
        <w:rPr>
          <w:rFonts w:ascii="Arial" w:hAnsi="Arial" w:cs="Arial"/>
          <w:szCs w:val="24"/>
          <w:lang w:val="es-AR"/>
        </w:rPr>
        <w:t>del</w:t>
      </w:r>
      <w:r w:rsidR="00677738">
        <w:rPr>
          <w:rFonts w:ascii="Arial" w:hAnsi="Arial" w:cs="Arial"/>
          <w:szCs w:val="24"/>
          <w:lang w:val="es-AR"/>
        </w:rPr>
        <w:t>a sanción del</w:t>
      </w:r>
      <w:r w:rsidR="006F3CC5" w:rsidRPr="00123718">
        <w:rPr>
          <w:rFonts w:ascii="Arial" w:hAnsi="Arial" w:cs="Arial"/>
          <w:szCs w:val="24"/>
          <w:lang w:val="es-AR"/>
        </w:rPr>
        <w:t xml:space="preserve"> ordenamiento</w:t>
      </w:r>
      <w:r w:rsidR="000326EB">
        <w:rPr>
          <w:rFonts w:ascii="Arial" w:hAnsi="Arial" w:cs="Arial"/>
          <w:szCs w:val="24"/>
          <w:lang w:val="es-AR"/>
        </w:rPr>
        <w:t>Civil y C</w:t>
      </w:r>
      <w:r w:rsidRPr="00123718">
        <w:rPr>
          <w:rFonts w:ascii="Arial" w:hAnsi="Arial" w:cs="Arial"/>
          <w:szCs w:val="24"/>
          <w:lang w:val="es-AR"/>
        </w:rPr>
        <w:t xml:space="preserve">omercial </w:t>
      </w:r>
      <w:r w:rsidR="00677738">
        <w:rPr>
          <w:rFonts w:ascii="Arial" w:hAnsi="Arial" w:cs="Arial"/>
          <w:szCs w:val="24"/>
          <w:lang w:val="es-AR"/>
        </w:rPr>
        <w:t xml:space="preserve">en el año 2015 </w:t>
      </w:r>
      <w:r w:rsidRPr="00123718">
        <w:rPr>
          <w:rFonts w:ascii="Arial" w:hAnsi="Arial" w:cs="Arial"/>
          <w:szCs w:val="24"/>
          <w:lang w:val="es-AR"/>
        </w:rPr>
        <w:t xml:space="preserve">queda amparada </w:t>
      </w:r>
      <w:r w:rsidR="00A54FF6" w:rsidRPr="00123718">
        <w:rPr>
          <w:rFonts w:ascii="Arial" w:hAnsi="Arial" w:cs="Arial"/>
          <w:szCs w:val="24"/>
          <w:lang w:val="es-AR"/>
        </w:rPr>
        <w:t xml:space="preserve">–con diversas modalidades- en todas las formas y relaciones familiares, </w:t>
      </w:r>
      <w:r w:rsidR="006F3CC5" w:rsidRPr="00123718">
        <w:rPr>
          <w:rFonts w:ascii="Arial" w:hAnsi="Arial" w:cs="Arial"/>
          <w:szCs w:val="24"/>
          <w:lang w:val="es-AR"/>
        </w:rPr>
        <w:t>poniendo fin a abultados debates doctrinarios y jurisprudenciales</w:t>
      </w:r>
      <w:r w:rsidR="000326EB">
        <w:rPr>
          <w:rFonts w:ascii="Arial" w:hAnsi="Arial" w:cs="Arial"/>
          <w:szCs w:val="24"/>
          <w:lang w:val="es-AR"/>
        </w:rPr>
        <w:t xml:space="preserve"> y revelando la constitucionalización/convencionalidad del derecho de las familias</w:t>
      </w:r>
      <w:r w:rsidR="00375FFC" w:rsidRPr="00123718">
        <w:rPr>
          <w:rFonts w:ascii="Arial" w:hAnsi="Arial" w:cs="Arial"/>
          <w:szCs w:val="24"/>
          <w:lang w:val="es-AR"/>
        </w:rPr>
        <w:t>.</w:t>
      </w:r>
      <w:r w:rsidR="002E2CD5" w:rsidRPr="002E2CD5">
        <w:rPr>
          <w:rFonts w:ascii="Arial" w:hAnsi="Arial" w:cs="Arial"/>
          <w:szCs w:val="24"/>
          <w:lang w:val="es-AR"/>
        </w:rPr>
        <w:t>Todo ello, sin dudas en base a una clara y progresiva ampliación de derechos.</w:t>
      </w:r>
    </w:p>
    <w:p w:rsidR="000808C7" w:rsidRPr="00123718" w:rsidRDefault="00BA3B2A" w:rsidP="00123718">
      <w:pPr>
        <w:autoSpaceDE w:val="0"/>
        <w:autoSpaceDN w:val="0"/>
        <w:adjustRightInd w:val="0"/>
        <w:spacing w:line="360" w:lineRule="auto"/>
        <w:ind w:left="-284" w:right="-232"/>
        <w:jc w:val="both"/>
        <w:rPr>
          <w:rFonts w:ascii="Arial" w:hAnsi="Arial" w:cs="Arial"/>
          <w:szCs w:val="24"/>
          <w:lang w:val="es-AR"/>
        </w:rPr>
      </w:pPr>
      <w:r w:rsidRPr="00123718">
        <w:rPr>
          <w:rFonts w:ascii="Arial" w:hAnsi="Arial" w:cs="Arial"/>
          <w:szCs w:val="24"/>
          <w:lang w:val="es-AR"/>
        </w:rPr>
        <w:t xml:space="preserve">El </w:t>
      </w:r>
      <w:r w:rsidR="000808C7" w:rsidRPr="00123718">
        <w:rPr>
          <w:rFonts w:ascii="Arial" w:hAnsi="Arial" w:cs="Arial"/>
          <w:szCs w:val="24"/>
          <w:lang w:val="es-AR"/>
        </w:rPr>
        <w:t xml:space="preserve">Código Civil y Comercialestablece como uno de los efectos post cese de la unión </w:t>
      </w:r>
      <w:r w:rsidR="00761301">
        <w:rPr>
          <w:rFonts w:ascii="Arial" w:hAnsi="Arial" w:cs="Arial"/>
          <w:szCs w:val="24"/>
          <w:lang w:val="es-AR"/>
        </w:rPr>
        <w:t>convivencial</w:t>
      </w:r>
      <w:r w:rsidR="000808C7" w:rsidRPr="00123718">
        <w:rPr>
          <w:rFonts w:ascii="Arial" w:hAnsi="Arial" w:cs="Arial"/>
          <w:szCs w:val="24"/>
          <w:lang w:val="es-AR"/>
        </w:rPr>
        <w:t xml:space="preserve">–ante falta de pacto en contrario- la atribución de la vivienda familiar a uno de los convivientes por un tiempo determinado fijado por el juez y que no puede ser superior a los dos años contados desde </w:t>
      </w:r>
      <w:r w:rsidR="001924D7" w:rsidRPr="00123718">
        <w:rPr>
          <w:rFonts w:ascii="Arial" w:hAnsi="Arial" w:cs="Arial"/>
          <w:szCs w:val="24"/>
          <w:lang w:val="es-AR"/>
        </w:rPr>
        <w:t>el cese</w:t>
      </w:r>
      <w:r w:rsidR="000808C7" w:rsidRPr="00123718">
        <w:rPr>
          <w:rFonts w:ascii="Arial" w:hAnsi="Arial" w:cs="Arial"/>
          <w:szCs w:val="24"/>
          <w:lang w:val="es-AR"/>
        </w:rPr>
        <w:t xml:space="preserve"> de la unión.</w:t>
      </w:r>
      <w:r w:rsidR="00155A72">
        <w:rPr>
          <w:rFonts w:ascii="Arial" w:hAnsi="Arial" w:cs="Arial"/>
          <w:szCs w:val="24"/>
          <w:lang w:val="es-AR"/>
        </w:rPr>
        <w:t>E</w:t>
      </w:r>
      <w:r w:rsidR="001924D7" w:rsidRPr="00123718">
        <w:rPr>
          <w:rFonts w:ascii="Arial" w:hAnsi="Arial" w:cs="Arial"/>
          <w:szCs w:val="24"/>
          <w:lang w:val="es-AR"/>
        </w:rPr>
        <w:t>ste plazo es una de las diferencias de lo que sucede en la disolución matrimonial donde la atribución no tiene un</w:t>
      </w:r>
      <w:r w:rsidR="004967E4" w:rsidRPr="00123718">
        <w:rPr>
          <w:rFonts w:ascii="Arial" w:hAnsi="Arial" w:cs="Arial"/>
          <w:szCs w:val="24"/>
          <w:lang w:val="es-AR"/>
        </w:rPr>
        <w:t xml:space="preserve"> plazo máximo fijado </w:t>
      </w:r>
      <w:r w:rsidR="00761301">
        <w:rPr>
          <w:rFonts w:ascii="Arial" w:hAnsi="Arial" w:cs="Arial"/>
          <w:szCs w:val="24"/>
          <w:lang w:val="es-AR"/>
        </w:rPr>
        <w:t>legalmente</w:t>
      </w:r>
      <w:r w:rsidR="004967E4" w:rsidRPr="00123718">
        <w:rPr>
          <w:rFonts w:ascii="Arial" w:hAnsi="Arial" w:cs="Arial"/>
          <w:szCs w:val="24"/>
          <w:lang w:val="es-AR"/>
        </w:rPr>
        <w:t>.</w:t>
      </w:r>
    </w:p>
    <w:p w:rsidR="000808C7" w:rsidRPr="00123718" w:rsidRDefault="000808C7" w:rsidP="00123718">
      <w:pPr>
        <w:autoSpaceDE w:val="0"/>
        <w:autoSpaceDN w:val="0"/>
        <w:adjustRightInd w:val="0"/>
        <w:spacing w:line="360" w:lineRule="auto"/>
        <w:ind w:left="-284" w:right="-232"/>
        <w:jc w:val="both"/>
        <w:rPr>
          <w:rFonts w:ascii="Arial" w:hAnsi="Arial" w:cs="Arial"/>
          <w:i/>
          <w:szCs w:val="24"/>
          <w:lang w:val="es-AR"/>
        </w:rPr>
      </w:pPr>
      <w:r w:rsidRPr="00123718">
        <w:rPr>
          <w:rFonts w:ascii="Arial" w:hAnsi="Arial" w:cs="Arial"/>
          <w:szCs w:val="24"/>
          <w:lang w:val="es-AR"/>
        </w:rPr>
        <w:t>Para decidir si procede o no, el juez cuenta con criterios objetivos establecidos por la norma (artículo 526</w:t>
      </w:r>
      <w:r w:rsidRPr="00123718">
        <w:rPr>
          <w:rFonts w:ascii="Arial" w:hAnsi="Arial" w:cs="Arial"/>
          <w:i/>
          <w:szCs w:val="24"/>
          <w:lang w:val="es-AR"/>
        </w:rPr>
        <w:t>): “…</w:t>
      </w:r>
      <w:r w:rsidR="00C51D12" w:rsidRPr="00123718">
        <w:rPr>
          <w:rFonts w:ascii="Arial" w:hAnsi="Arial" w:cs="Arial"/>
          <w:i/>
          <w:szCs w:val="24"/>
          <w:lang w:val="es-AR"/>
        </w:rPr>
        <w:t>si tiene a su cargo el cuidado de hijos menores de edad, con capacidad restringida, o con discapacidad; b) si acredita la extrema necesidad de una vivienda y la imposibilidad de procurársela en forma inmediata</w:t>
      </w:r>
      <w:r w:rsidRPr="00123718">
        <w:rPr>
          <w:rFonts w:ascii="Arial" w:hAnsi="Arial" w:cs="Arial"/>
          <w:i/>
          <w:szCs w:val="24"/>
          <w:lang w:val="es-AR"/>
        </w:rPr>
        <w:t>”</w:t>
      </w:r>
      <w:r w:rsidR="00C51D12" w:rsidRPr="00123718">
        <w:rPr>
          <w:rFonts w:ascii="Arial" w:hAnsi="Arial" w:cs="Arial"/>
          <w:i/>
          <w:szCs w:val="24"/>
          <w:lang w:val="es-AR"/>
        </w:rPr>
        <w:t>.</w:t>
      </w:r>
    </w:p>
    <w:p w:rsidR="00503825" w:rsidRPr="00123718" w:rsidRDefault="00B24A03" w:rsidP="00123718">
      <w:pPr>
        <w:autoSpaceDE w:val="0"/>
        <w:autoSpaceDN w:val="0"/>
        <w:adjustRightInd w:val="0"/>
        <w:spacing w:line="360" w:lineRule="auto"/>
        <w:ind w:left="-284" w:right="-234"/>
        <w:jc w:val="both"/>
        <w:rPr>
          <w:rFonts w:ascii="Arial" w:hAnsi="Arial" w:cs="Arial"/>
          <w:szCs w:val="24"/>
        </w:rPr>
      </w:pPr>
      <w:r w:rsidRPr="00123718">
        <w:rPr>
          <w:rFonts w:ascii="Arial" w:hAnsi="Arial" w:cs="Arial"/>
          <w:szCs w:val="24"/>
        </w:rPr>
        <w:t>Cierta d</w:t>
      </w:r>
      <w:r w:rsidR="00503825" w:rsidRPr="00123718">
        <w:rPr>
          <w:rFonts w:ascii="Arial" w:hAnsi="Arial" w:cs="Arial"/>
          <w:szCs w:val="24"/>
        </w:rPr>
        <w:t xml:space="preserve">octrina –minoritaria por cierto- ha pretendido remarcar que el artículo 526 establece una franca diferencia entre los hijos nacidos de uniones convivenciales respecto a los matrimoniales –por el límite temporal de la atribución- esbozando una supuesta inconstitucionalidad de la norma. Quienes se encuadran en esta posición yerran, a </w:t>
      </w:r>
      <w:r w:rsidR="00703F3F">
        <w:rPr>
          <w:rFonts w:ascii="Arial" w:hAnsi="Arial" w:cs="Arial"/>
          <w:szCs w:val="24"/>
        </w:rPr>
        <w:t>mi</w:t>
      </w:r>
      <w:r w:rsidR="00503825" w:rsidRPr="00123718">
        <w:rPr>
          <w:rFonts w:ascii="Arial" w:hAnsi="Arial" w:cs="Arial"/>
          <w:szCs w:val="24"/>
        </w:rPr>
        <w:t xml:space="preserve"> criterio, en el encuadre legal pretendido.</w:t>
      </w:r>
    </w:p>
    <w:p w:rsidR="00503825" w:rsidRPr="00123718" w:rsidRDefault="00503825" w:rsidP="00123718">
      <w:pPr>
        <w:autoSpaceDE w:val="0"/>
        <w:autoSpaceDN w:val="0"/>
        <w:adjustRightInd w:val="0"/>
        <w:spacing w:line="360" w:lineRule="auto"/>
        <w:ind w:left="-284" w:right="-234"/>
        <w:jc w:val="both"/>
        <w:rPr>
          <w:rFonts w:ascii="Arial" w:hAnsi="Arial" w:cs="Arial"/>
          <w:i/>
          <w:szCs w:val="24"/>
        </w:rPr>
      </w:pPr>
      <w:r w:rsidRPr="00123718">
        <w:rPr>
          <w:rFonts w:ascii="Arial" w:hAnsi="Arial" w:cs="Arial"/>
          <w:szCs w:val="24"/>
        </w:rPr>
        <w:t>Cuando hablamos de atribución de la vivienda respecto de “los hijos” -de una unión convivencial o matrimonial- obligadamente nos tenemos que referir al artículo 659 y no al 526</w:t>
      </w:r>
      <w:r w:rsidR="00143F76" w:rsidRPr="00123718">
        <w:rPr>
          <w:rFonts w:ascii="Arial" w:hAnsi="Arial" w:cs="Arial"/>
          <w:szCs w:val="24"/>
        </w:rPr>
        <w:t xml:space="preserve"> del Código Civil y Comercial.</w:t>
      </w:r>
    </w:p>
    <w:p w:rsidR="00503825" w:rsidRPr="00123718" w:rsidRDefault="00B24A03" w:rsidP="00123718">
      <w:pPr>
        <w:autoSpaceDE w:val="0"/>
        <w:autoSpaceDN w:val="0"/>
        <w:adjustRightInd w:val="0"/>
        <w:spacing w:line="360" w:lineRule="auto"/>
        <w:ind w:left="-284" w:right="-234"/>
        <w:jc w:val="both"/>
        <w:rPr>
          <w:rFonts w:ascii="Arial" w:hAnsi="Arial" w:cs="Arial"/>
          <w:szCs w:val="24"/>
        </w:rPr>
      </w:pPr>
      <w:r w:rsidRPr="00123718">
        <w:rPr>
          <w:rFonts w:ascii="Arial" w:hAnsi="Arial" w:cs="Arial"/>
          <w:szCs w:val="24"/>
        </w:rPr>
        <w:t>E</w:t>
      </w:r>
      <w:r w:rsidR="00503825" w:rsidRPr="00123718">
        <w:rPr>
          <w:rFonts w:ascii="Arial" w:hAnsi="Arial" w:cs="Arial"/>
          <w:szCs w:val="24"/>
        </w:rPr>
        <w:t xml:space="preserve">l propio Código en su estructura ubica ambos artículos en títulos diferentes porque están destinados a regular </w:t>
      </w:r>
      <w:r w:rsidR="00143F76" w:rsidRPr="00123718">
        <w:rPr>
          <w:rFonts w:ascii="Arial" w:hAnsi="Arial" w:cs="Arial"/>
          <w:szCs w:val="24"/>
        </w:rPr>
        <w:t>situaciones</w:t>
      </w:r>
      <w:r w:rsidR="00503825" w:rsidRPr="00123718">
        <w:rPr>
          <w:rFonts w:ascii="Arial" w:hAnsi="Arial" w:cs="Arial"/>
          <w:szCs w:val="24"/>
        </w:rPr>
        <w:t xml:space="preserve"> distint</w:t>
      </w:r>
      <w:r w:rsidR="00143F76" w:rsidRPr="00123718">
        <w:rPr>
          <w:rFonts w:ascii="Arial" w:hAnsi="Arial" w:cs="Arial"/>
          <w:szCs w:val="24"/>
        </w:rPr>
        <w:t>a</w:t>
      </w:r>
      <w:r w:rsidR="00503825" w:rsidRPr="00123718">
        <w:rPr>
          <w:rFonts w:ascii="Arial" w:hAnsi="Arial" w:cs="Arial"/>
          <w:szCs w:val="24"/>
        </w:rPr>
        <w:t>s.</w:t>
      </w:r>
    </w:p>
    <w:p w:rsidR="00503825" w:rsidRPr="00123718" w:rsidRDefault="00503825" w:rsidP="00123718">
      <w:pPr>
        <w:widowControl/>
        <w:spacing w:line="360" w:lineRule="auto"/>
        <w:ind w:left="-284" w:right="-234"/>
        <w:jc w:val="both"/>
        <w:rPr>
          <w:rFonts w:ascii="Arial" w:hAnsi="Arial" w:cs="Arial"/>
          <w:bCs/>
          <w:szCs w:val="24"/>
          <w:lang w:val="es-AR" w:eastAsia="es-AR"/>
        </w:rPr>
      </w:pPr>
      <w:r w:rsidRPr="00123718">
        <w:rPr>
          <w:rFonts w:ascii="Arial" w:hAnsi="Arial" w:cs="Arial"/>
          <w:szCs w:val="24"/>
        </w:rPr>
        <w:lastRenderedPageBreak/>
        <w:t>El art</w:t>
      </w:r>
      <w:r w:rsidR="00143F76" w:rsidRPr="00123718">
        <w:rPr>
          <w:rFonts w:ascii="Arial" w:hAnsi="Arial" w:cs="Arial"/>
          <w:szCs w:val="24"/>
        </w:rPr>
        <w:t>ículo</w:t>
      </w:r>
      <w:r w:rsidRPr="00123718">
        <w:rPr>
          <w:rFonts w:ascii="Arial" w:hAnsi="Arial" w:cs="Arial"/>
          <w:szCs w:val="24"/>
        </w:rPr>
        <w:t xml:space="preserve"> 526 </w:t>
      </w:r>
      <w:r w:rsidRPr="00123718">
        <w:rPr>
          <w:rFonts w:ascii="Arial" w:hAnsi="Arial" w:cs="Arial"/>
          <w:bCs/>
          <w:szCs w:val="24"/>
          <w:lang w:val="es-AR" w:eastAsia="es-AR"/>
        </w:rPr>
        <w:t>está dirigido a normar las relaciones entre los convivientes (adultos) y no la obligación alimentaria de los progenitores de prop</w:t>
      </w:r>
      <w:r w:rsidR="00143F76" w:rsidRPr="00123718">
        <w:rPr>
          <w:rFonts w:ascii="Arial" w:hAnsi="Arial" w:cs="Arial"/>
          <w:bCs/>
          <w:szCs w:val="24"/>
          <w:lang w:val="es-AR" w:eastAsia="es-AR"/>
        </w:rPr>
        <w:t>orcionar una vivienda a sus hija</w:t>
      </w:r>
      <w:r w:rsidRPr="00123718">
        <w:rPr>
          <w:rFonts w:ascii="Arial" w:hAnsi="Arial" w:cs="Arial"/>
          <w:bCs/>
          <w:szCs w:val="24"/>
          <w:lang w:val="es-AR" w:eastAsia="es-AR"/>
        </w:rPr>
        <w:t>/</w:t>
      </w:r>
      <w:r w:rsidR="00143F76" w:rsidRPr="00123718">
        <w:rPr>
          <w:rFonts w:ascii="Arial" w:hAnsi="Arial" w:cs="Arial"/>
          <w:bCs/>
          <w:szCs w:val="24"/>
          <w:lang w:val="es-AR" w:eastAsia="es-AR"/>
        </w:rPr>
        <w:t>o</w:t>
      </w:r>
      <w:r w:rsidRPr="00123718">
        <w:rPr>
          <w:rFonts w:ascii="Arial" w:hAnsi="Arial" w:cs="Arial"/>
          <w:bCs/>
          <w:szCs w:val="24"/>
          <w:lang w:val="es-AR" w:eastAsia="es-AR"/>
        </w:rPr>
        <w:t>s. Es por ello, que se fija a la atribución un plazo máximo de dos años</w:t>
      </w:r>
      <w:r w:rsidR="00BF1106">
        <w:rPr>
          <w:rFonts w:ascii="Arial" w:hAnsi="Arial" w:cs="Arial"/>
          <w:bCs/>
          <w:szCs w:val="24"/>
          <w:lang w:val="es-AR" w:eastAsia="es-AR"/>
        </w:rPr>
        <w:t>,</w:t>
      </w:r>
      <w:r w:rsidRPr="00123718">
        <w:rPr>
          <w:rFonts w:ascii="Arial" w:hAnsi="Arial" w:cs="Arial"/>
          <w:bCs/>
          <w:szCs w:val="24"/>
          <w:lang w:val="es-AR" w:eastAsia="es-AR"/>
        </w:rPr>
        <w:t xml:space="preserve"> para garantizar al conviviente que no se le ha otorgado el uso del inmueble que su derecho no se vea limitado por un tiempo excesivo, sino hasta que el otro logre proporcionarse por sus propios medios una vivienda. </w:t>
      </w:r>
    </w:p>
    <w:p w:rsidR="005934DA" w:rsidRPr="00123718" w:rsidRDefault="00143F76" w:rsidP="00123718">
      <w:pPr>
        <w:widowControl/>
        <w:spacing w:line="360" w:lineRule="auto"/>
        <w:ind w:left="-284" w:right="-234"/>
        <w:jc w:val="both"/>
        <w:rPr>
          <w:rFonts w:ascii="Arial" w:hAnsi="Arial" w:cs="Arial"/>
          <w:szCs w:val="24"/>
        </w:rPr>
      </w:pPr>
      <w:r w:rsidRPr="00123718">
        <w:rPr>
          <w:rFonts w:ascii="Arial" w:hAnsi="Arial" w:cs="Arial"/>
          <w:bCs/>
          <w:szCs w:val="24"/>
          <w:lang w:val="es-AR" w:eastAsia="es-AR"/>
        </w:rPr>
        <w:t>Sin embargo, cuando existen niña</w:t>
      </w:r>
      <w:r w:rsidR="00503825" w:rsidRPr="00123718">
        <w:rPr>
          <w:rFonts w:ascii="Arial" w:hAnsi="Arial" w:cs="Arial"/>
          <w:bCs/>
          <w:szCs w:val="24"/>
          <w:lang w:val="es-AR" w:eastAsia="es-AR"/>
        </w:rPr>
        <w:t>/</w:t>
      </w:r>
      <w:r w:rsidRPr="00123718">
        <w:rPr>
          <w:rFonts w:ascii="Arial" w:hAnsi="Arial" w:cs="Arial"/>
          <w:bCs/>
          <w:szCs w:val="24"/>
          <w:lang w:val="es-AR" w:eastAsia="es-AR"/>
        </w:rPr>
        <w:t>o</w:t>
      </w:r>
      <w:r w:rsidR="00503825" w:rsidRPr="00123718">
        <w:rPr>
          <w:rFonts w:ascii="Arial" w:hAnsi="Arial" w:cs="Arial"/>
          <w:bCs/>
          <w:szCs w:val="24"/>
          <w:lang w:val="es-AR" w:eastAsia="es-AR"/>
        </w:rPr>
        <w:t xml:space="preserve">s menores de edad, el límite en el plazo fijado por la norma no debe ser tomado en cuenta ya que debe priorizarse principalmente el interés superior de </w:t>
      </w:r>
      <w:r w:rsidR="00B24A03" w:rsidRPr="00123718">
        <w:rPr>
          <w:rFonts w:ascii="Arial" w:hAnsi="Arial" w:cs="Arial"/>
          <w:bCs/>
          <w:szCs w:val="24"/>
          <w:lang w:val="es-AR" w:eastAsia="es-AR"/>
        </w:rPr>
        <w:t>éstos</w:t>
      </w:r>
      <w:r w:rsidR="00503825" w:rsidRPr="00123718">
        <w:rPr>
          <w:rFonts w:ascii="Arial" w:hAnsi="Arial" w:cs="Arial"/>
          <w:bCs/>
          <w:szCs w:val="24"/>
          <w:lang w:val="es-AR" w:eastAsia="es-AR"/>
        </w:rPr>
        <w:t xml:space="preserve"> y, en consecuencia</w:t>
      </w:r>
      <w:r w:rsidR="00B24A03" w:rsidRPr="00123718">
        <w:rPr>
          <w:rFonts w:ascii="Arial" w:hAnsi="Arial" w:cs="Arial"/>
          <w:bCs/>
          <w:szCs w:val="24"/>
          <w:lang w:val="es-AR" w:eastAsia="es-AR"/>
        </w:rPr>
        <w:t>,</w:t>
      </w:r>
      <w:r w:rsidR="00503825" w:rsidRPr="00123718">
        <w:rPr>
          <w:rFonts w:ascii="Arial" w:hAnsi="Arial" w:cs="Arial"/>
          <w:bCs/>
          <w:szCs w:val="24"/>
          <w:lang w:val="es-AR" w:eastAsia="es-AR"/>
        </w:rPr>
        <w:t xml:space="preserve"> se les debe garantizar la vivienda hasta su mayoría de edad por sobre el derecho de propiedad que poseen los progenitores</w:t>
      </w:r>
      <w:r w:rsidRPr="00123718">
        <w:rPr>
          <w:rFonts w:ascii="Arial" w:hAnsi="Arial" w:cs="Arial"/>
          <w:bCs/>
          <w:szCs w:val="24"/>
          <w:lang w:val="es-AR" w:eastAsia="es-AR"/>
        </w:rPr>
        <w:t xml:space="preserve">, siendo en consecuencia aplicable el artículo 659 que </w:t>
      </w:r>
      <w:r w:rsidR="005934DA" w:rsidRPr="00123718">
        <w:rPr>
          <w:rFonts w:ascii="Arial" w:hAnsi="Arial" w:cs="Arial"/>
          <w:szCs w:val="24"/>
        </w:rPr>
        <w:t>detalla el contenido de la obligación alimentaria</w:t>
      </w:r>
      <w:r w:rsidR="001104D0">
        <w:rPr>
          <w:rFonts w:ascii="Arial" w:hAnsi="Arial" w:cs="Arial"/>
          <w:szCs w:val="24"/>
        </w:rPr>
        <w:t>:</w:t>
      </w:r>
      <w:r w:rsidR="005934DA" w:rsidRPr="00123718">
        <w:rPr>
          <w:rFonts w:ascii="Arial" w:hAnsi="Arial" w:cs="Arial"/>
          <w:i/>
          <w:szCs w:val="24"/>
        </w:rPr>
        <w:t>“La obligación de alimentos comprende la satisfacción de las necesidades de los hijos de manutención, educación, esparcimiento, vestimenta, habitación, asistencia, gastos por enfermedad y los gastos necesarios para a</w:t>
      </w:r>
      <w:r w:rsidR="001104D0">
        <w:rPr>
          <w:rFonts w:ascii="Arial" w:hAnsi="Arial" w:cs="Arial"/>
          <w:i/>
          <w:szCs w:val="24"/>
        </w:rPr>
        <w:t>dquirir una profesión u oficio</w:t>
      </w:r>
      <w:r w:rsidR="005934DA" w:rsidRPr="00123718">
        <w:rPr>
          <w:rFonts w:ascii="Arial" w:hAnsi="Arial" w:cs="Arial"/>
          <w:i/>
          <w:szCs w:val="24"/>
        </w:rPr>
        <w:t xml:space="preserve">…” </w:t>
      </w:r>
    </w:p>
    <w:p w:rsidR="005934DA" w:rsidRPr="00123718" w:rsidRDefault="005934DA" w:rsidP="00123718">
      <w:pPr>
        <w:autoSpaceDE w:val="0"/>
        <w:autoSpaceDN w:val="0"/>
        <w:adjustRightInd w:val="0"/>
        <w:spacing w:line="360" w:lineRule="auto"/>
        <w:ind w:left="-284" w:right="-234"/>
        <w:jc w:val="both"/>
        <w:rPr>
          <w:rFonts w:ascii="Arial" w:hAnsi="Arial" w:cs="Arial"/>
          <w:szCs w:val="24"/>
        </w:rPr>
      </w:pPr>
      <w:r w:rsidRPr="00123718">
        <w:rPr>
          <w:rFonts w:ascii="Arial" w:hAnsi="Arial" w:cs="Arial"/>
          <w:szCs w:val="24"/>
        </w:rPr>
        <w:t xml:space="preserve">Como puede observarse en el </w:t>
      </w:r>
      <w:r w:rsidR="005279A3" w:rsidRPr="00123718">
        <w:rPr>
          <w:rFonts w:ascii="Arial" w:hAnsi="Arial" w:cs="Arial"/>
          <w:szCs w:val="24"/>
        </w:rPr>
        <w:t xml:space="preserve">Código Civil y Comercial </w:t>
      </w:r>
      <w:r w:rsidRPr="00123718">
        <w:rPr>
          <w:rFonts w:ascii="Arial" w:hAnsi="Arial" w:cs="Arial"/>
          <w:szCs w:val="24"/>
        </w:rPr>
        <w:t xml:space="preserve">dicha obligación se encuentra incluida dentro del Título VI de la “Responsabilidad Parental” en el Capítulo 5 referente a los “Deberes y derechos de los progenitores. Obligación de alimentos”. </w:t>
      </w:r>
    </w:p>
    <w:p w:rsidR="005934DA" w:rsidRPr="00123718" w:rsidRDefault="005934DA" w:rsidP="00123718">
      <w:pPr>
        <w:autoSpaceDE w:val="0"/>
        <w:autoSpaceDN w:val="0"/>
        <w:adjustRightInd w:val="0"/>
        <w:spacing w:line="360" w:lineRule="auto"/>
        <w:ind w:left="-284" w:right="-234"/>
        <w:jc w:val="both"/>
        <w:rPr>
          <w:rFonts w:ascii="Arial" w:hAnsi="Arial" w:cs="Arial"/>
          <w:szCs w:val="24"/>
        </w:rPr>
      </w:pPr>
      <w:r w:rsidRPr="00123718">
        <w:rPr>
          <w:rFonts w:ascii="Arial" w:hAnsi="Arial" w:cs="Arial"/>
          <w:szCs w:val="24"/>
        </w:rPr>
        <w:t>El derecho de los alimentos de las niñas, niños y adolescentes constituye un presupuesto esencial para la realización de todos sus derechos. Los derechos alimentarios de los niños</w:t>
      </w:r>
      <w:r w:rsidR="001104D0">
        <w:rPr>
          <w:rFonts w:ascii="Arial" w:hAnsi="Arial" w:cs="Arial"/>
          <w:szCs w:val="24"/>
        </w:rPr>
        <w:t>/as</w:t>
      </w:r>
      <w:r w:rsidRPr="00123718">
        <w:rPr>
          <w:rFonts w:ascii="Arial" w:hAnsi="Arial" w:cs="Arial"/>
          <w:szCs w:val="24"/>
        </w:rPr>
        <w:t xml:space="preserve"> y jóvenes deben ser comprendidos y dimensionados hoy a la luz de la doctrina internacional de los derechos humanos. </w:t>
      </w:r>
    </w:p>
    <w:p w:rsidR="005934DA" w:rsidRPr="00123718" w:rsidRDefault="005934DA" w:rsidP="00123718">
      <w:pPr>
        <w:autoSpaceDE w:val="0"/>
        <w:autoSpaceDN w:val="0"/>
        <w:adjustRightInd w:val="0"/>
        <w:spacing w:line="360" w:lineRule="auto"/>
        <w:ind w:left="-284" w:right="-234"/>
        <w:jc w:val="both"/>
        <w:rPr>
          <w:rFonts w:ascii="Arial" w:hAnsi="Arial" w:cs="Arial"/>
          <w:szCs w:val="24"/>
        </w:rPr>
      </w:pPr>
      <w:r w:rsidRPr="00123718">
        <w:rPr>
          <w:rFonts w:ascii="Arial" w:hAnsi="Arial" w:cs="Arial"/>
          <w:szCs w:val="24"/>
        </w:rPr>
        <w:t>La vivienda es uno de los principales derechos que deben garantizar los padres para lograr que las niñas, niños y jóvenes crezcan en un ambiente digno y acorde a sus necesidades conforme lo prevé</w:t>
      </w:r>
      <w:r w:rsidR="001104D0">
        <w:rPr>
          <w:rFonts w:ascii="Arial" w:hAnsi="Arial" w:cs="Arial"/>
          <w:szCs w:val="24"/>
        </w:rPr>
        <w:t xml:space="preserve"> en su artículo 27 inciso 3) </w:t>
      </w:r>
      <w:r w:rsidRPr="00123718">
        <w:rPr>
          <w:rFonts w:ascii="Arial" w:hAnsi="Arial" w:cs="Arial"/>
          <w:szCs w:val="24"/>
        </w:rPr>
        <w:t>la Convención sobre los Derechos del Niño, integrante del bloque constitucional.</w:t>
      </w:r>
    </w:p>
    <w:p w:rsidR="00540077" w:rsidRPr="00123718" w:rsidRDefault="005934DA" w:rsidP="00123718">
      <w:pPr>
        <w:widowControl/>
        <w:spacing w:line="360" w:lineRule="auto"/>
        <w:ind w:left="-284" w:right="-234"/>
        <w:jc w:val="both"/>
        <w:rPr>
          <w:rFonts w:ascii="Arial" w:hAnsi="Arial" w:cs="Arial"/>
          <w:bCs/>
          <w:szCs w:val="24"/>
          <w:lang w:val="es-AR" w:eastAsia="es-AR"/>
        </w:rPr>
      </w:pPr>
      <w:r w:rsidRPr="00123718">
        <w:rPr>
          <w:rFonts w:ascii="Arial" w:hAnsi="Arial" w:cs="Arial"/>
          <w:bCs/>
          <w:szCs w:val="24"/>
          <w:lang w:val="es-AR" w:eastAsia="es-AR"/>
        </w:rPr>
        <w:t>De este modo se ha</w:t>
      </w:r>
      <w:r w:rsidR="00540077" w:rsidRPr="00123718">
        <w:rPr>
          <w:rFonts w:ascii="Arial" w:hAnsi="Arial" w:cs="Arial"/>
          <w:bCs/>
          <w:szCs w:val="24"/>
          <w:lang w:val="es-AR" w:eastAsia="es-AR"/>
        </w:rPr>
        <w:t>n</w:t>
      </w:r>
      <w:r w:rsidRPr="00123718">
        <w:rPr>
          <w:rFonts w:ascii="Arial" w:hAnsi="Arial" w:cs="Arial"/>
          <w:bCs/>
          <w:szCs w:val="24"/>
          <w:lang w:val="es-AR" w:eastAsia="es-AR"/>
        </w:rPr>
        <w:t xml:space="preserve"> manifestado </w:t>
      </w:r>
      <w:r w:rsidR="00EF613B">
        <w:rPr>
          <w:rFonts w:ascii="Arial" w:hAnsi="Arial" w:cs="Arial"/>
          <w:bCs/>
          <w:szCs w:val="24"/>
          <w:lang w:val="es-AR" w:eastAsia="es-AR"/>
        </w:rPr>
        <w:t>Kemelmajer de Carlucci</w:t>
      </w:r>
      <w:r w:rsidR="00540077" w:rsidRPr="00123718">
        <w:rPr>
          <w:rFonts w:ascii="Arial" w:hAnsi="Arial" w:cs="Arial"/>
          <w:bCs/>
          <w:szCs w:val="24"/>
          <w:lang w:val="es-AR" w:eastAsia="es-AR"/>
        </w:rPr>
        <w:t xml:space="preserve">y </w:t>
      </w:r>
      <w:r w:rsidR="000326EB" w:rsidRPr="00123718">
        <w:rPr>
          <w:rFonts w:ascii="Arial" w:hAnsi="Arial" w:cs="Arial"/>
          <w:bCs/>
          <w:szCs w:val="24"/>
          <w:lang w:val="es-AR" w:eastAsia="es-AR"/>
        </w:rPr>
        <w:t>M</w:t>
      </w:r>
      <w:r w:rsidR="00EF613B">
        <w:rPr>
          <w:rFonts w:ascii="Arial" w:hAnsi="Arial" w:cs="Arial"/>
          <w:bCs/>
          <w:szCs w:val="24"/>
          <w:lang w:val="es-AR" w:eastAsia="es-AR"/>
        </w:rPr>
        <w:t>olina de Juan (2015)</w:t>
      </w:r>
      <w:r w:rsidR="00BB2752" w:rsidRPr="00123718">
        <w:rPr>
          <w:rFonts w:ascii="Arial" w:hAnsi="Arial" w:cs="Arial"/>
          <w:bCs/>
          <w:szCs w:val="24"/>
          <w:lang w:val="es-AR" w:eastAsia="es-AR"/>
        </w:rPr>
        <w:t>:</w:t>
      </w:r>
    </w:p>
    <w:p w:rsidR="004A7C76" w:rsidRPr="00EF613B" w:rsidRDefault="005934DA" w:rsidP="004A7C76">
      <w:pPr>
        <w:widowControl/>
        <w:spacing w:line="360" w:lineRule="auto"/>
        <w:ind w:left="709" w:right="-232"/>
        <w:jc w:val="both"/>
        <w:rPr>
          <w:rFonts w:ascii="Arial" w:hAnsi="Arial" w:cs="Arial"/>
          <w:bCs/>
          <w:szCs w:val="24"/>
          <w:lang w:val="es-AR" w:eastAsia="es-AR"/>
        </w:rPr>
      </w:pPr>
      <w:r w:rsidRPr="004A7C76">
        <w:rPr>
          <w:rFonts w:ascii="Arial" w:hAnsi="Arial" w:cs="Arial"/>
          <w:bCs/>
          <w:szCs w:val="24"/>
          <w:lang w:val="es-AR" w:eastAsia="es-AR"/>
        </w:rPr>
        <w:t>…Este límite no rige cuando hay hijos menores de edad o con capacidad restringida, porque en este caso, ellos son los verdaderos beneficiarios de la atribución del uso</w:t>
      </w:r>
      <w:r w:rsidR="00BB2752" w:rsidRPr="004A7C76">
        <w:rPr>
          <w:rFonts w:ascii="Arial" w:hAnsi="Arial" w:cs="Arial"/>
          <w:bCs/>
          <w:szCs w:val="24"/>
          <w:lang w:val="es-AR" w:eastAsia="es-AR"/>
        </w:rPr>
        <w:t>…</w:t>
      </w:r>
      <w:r w:rsidRPr="004A7C76">
        <w:rPr>
          <w:rFonts w:ascii="Arial" w:hAnsi="Arial" w:cs="Arial"/>
          <w:bCs/>
          <w:szCs w:val="24"/>
          <w:lang w:val="es-AR" w:eastAsia="es-AR"/>
        </w:rPr>
        <w:t xml:space="preserve"> La protección de la vivienda de los niños, niñas y adolescentes receptada en el nuevo Código Civil y Comercial se nutre de un plexo de valores fundamentales que emanan del paradigma constitucional argentino, cuales son la </w:t>
      </w:r>
      <w:r w:rsidRPr="004A7C76">
        <w:rPr>
          <w:rFonts w:ascii="Arial" w:hAnsi="Arial" w:cs="Arial"/>
          <w:bCs/>
          <w:szCs w:val="24"/>
          <w:lang w:val="es-AR" w:eastAsia="es-AR"/>
        </w:rPr>
        <w:lastRenderedPageBreak/>
        <w:t>dignidad de la persona, la igualdad real de oportunidades y el derecho humano a la vida familiar…</w:t>
      </w:r>
      <w:r w:rsidR="00EF613B">
        <w:rPr>
          <w:rFonts w:ascii="Arial" w:hAnsi="Arial" w:cs="Arial"/>
          <w:bCs/>
          <w:szCs w:val="24"/>
          <w:lang w:val="es-AR" w:eastAsia="es-AR"/>
        </w:rPr>
        <w:t>(</w:t>
      </w:r>
      <w:r w:rsidR="00EF613B" w:rsidRPr="00EF613B">
        <w:rPr>
          <w:rFonts w:ascii="Arial" w:hAnsi="Arial" w:cs="Arial"/>
          <w:bCs/>
          <w:szCs w:val="24"/>
          <w:lang w:val="es-AR" w:eastAsia="es-AR"/>
        </w:rPr>
        <w:t xml:space="preserve">Kemelmajer de </w:t>
      </w:r>
      <w:r w:rsidR="00EF613B">
        <w:rPr>
          <w:rFonts w:ascii="Arial" w:hAnsi="Arial" w:cs="Arial"/>
          <w:bCs/>
          <w:szCs w:val="24"/>
          <w:lang w:val="es-AR" w:eastAsia="es-AR"/>
        </w:rPr>
        <w:t>Carlucci y Molina de Juan, 2015, p.110/11)</w:t>
      </w:r>
      <w:r w:rsidR="001104D0">
        <w:rPr>
          <w:rFonts w:ascii="Arial" w:hAnsi="Arial" w:cs="Arial"/>
          <w:bCs/>
          <w:szCs w:val="24"/>
          <w:lang w:val="es-AR" w:eastAsia="es-AR"/>
        </w:rPr>
        <w:t>.</w:t>
      </w:r>
    </w:p>
    <w:p w:rsidR="004A7C76" w:rsidRDefault="004A7C76" w:rsidP="004A7C76">
      <w:pPr>
        <w:widowControl/>
        <w:spacing w:line="360" w:lineRule="auto"/>
        <w:ind w:left="-284" w:right="-232"/>
        <w:jc w:val="both"/>
        <w:rPr>
          <w:rFonts w:ascii="Arial" w:hAnsi="Arial" w:cs="Arial"/>
          <w:bCs/>
          <w:i/>
          <w:szCs w:val="24"/>
          <w:lang w:val="es-AR" w:eastAsia="es-AR"/>
        </w:rPr>
      </w:pPr>
      <w:r w:rsidRPr="004A7C76">
        <w:rPr>
          <w:rFonts w:ascii="Arial" w:hAnsi="Arial" w:cs="Arial"/>
          <w:bCs/>
          <w:szCs w:val="24"/>
          <w:lang w:val="es-AR" w:eastAsia="es-AR"/>
        </w:rPr>
        <w:t>De la misma manera</w:t>
      </w:r>
      <w:r w:rsidR="00EF613B">
        <w:rPr>
          <w:rFonts w:ascii="Arial" w:hAnsi="Arial" w:cs="Arial"/>
          <w:bCs/>
          <w:szCs w:val="24"/>
          <w:lang w:val="es-AR" w:eastAsia="es-AR"/>
        </w:rPr>
        <w:t xml:space="preserve"> Pellegrini(</w:t>
      </w:r>
      <w:r w:rsidR="00B94CFB">
        <w:rPr>
          <w:rFonts w:ascii="Arial" w:hAnsi="Arial" w:cs="Arial"/>
          <w:bCs/>
          <w:szCs w:val="24"/>
          <w:lang w:val="es-AR" w:eastAsia="es-AR"/>
        </w:rPr>
        <w:t>2019)</w:t>
      </w:r>
      <w:r w:rsidRPr="004A7C76">
        <w:rPr>
          <w:rFonts w:ascii="Arial" w:hAnsi="Arial" w:cs="Arial"/>
          <w:bCs/>
          <w:szCs w:val="24"/>
          <w:lang w:val="es-AR" w:eastAsia="es-AR"/>
        </w:rPr>
        <w:t>:</w:t>
      </w:r>
    </w:p>
    <w:p w:rsidR="00BB2752" w:rsidRPr="004A7C76" w:rsidRDefault="004A7C76" w:rsidP="004A7C76">
      <w:pPr>
        <w:widowControl/>
        <w:spacing w:line="360" w:lineRule="auto"/>
        <w:ind w:left="709" w:right="-232" w:hanging="993"/>
        <w:jc w:val="both"/>
        <w:rPr>
          <w:rFonts w:ascii="Arial" w:hAnsi="Arial" w:cs="Arial"/>
          <w:bCs/>
          <w:i/>
          <w:szCs w:val="24"/>
          <w:lang w:val="es-AR" w:eastAsia="es-AR"/>
        </w:rPr>
      </w:pPr>
      <w:r>
        <w:rPr>
          <w:rFonts w:ascii="Arial" w:hAnsi="Arial" w:cs="Arial"/>
          <w:bCs/>
          <w:i/>
          <w:szCs w:val="24"/>
          <w:lang w:val="es-AR" w:eastAsia="es-AR"/>
        </w:rPr>
        <w:tab/>
      </w:r>
      <w:r w:rsidR="008C4D90">
        <w:rPr>
          <w:rFonts w:ascii="Arial" w:hAnsi="Arial" w:cs="Arial"/>
          <w:bCs/>
          <w:szCs w:val="24"/>
          <w:lang w:val="es-AR" w:eastAsia="es-AR"/>
        </w:rPr>
        <w:t xml:space="preserve">Ello no obsta  a que en caso de existir descendencia, el uso de la vivienda integre la prestación alimentaria del conviviente a quien no se le asigne el uso y, en tal caso, se trata de un derecho de los hijos, para los que no rige el plazo máximo legal de dos años (CCCom. </w:t>
      </w:r>
      <w:r w:rsidR="001104D0">
        <w:rPr>
          <w:rFonts w:ascii="Arial" w:hAnsi="Arial" w:cs="Arial"/>
          <w:bCs/>
          <w:szCs w:val="24"/>
          <w:lang w:val="es-AR" w:eastAsia="es-AR"/>
        </w:rPr>
        <w:t>d</w:t>
      </w:r>
      <w:r w:rsidR="008C4D90">
        <w:rPr>
          <w:rFonts w:ascii="Arial" w:hAnsi="Arial" w:cs="Arial"/>
          <w:bCs/>
          <w:szCs w:val="24"/>
          <w:lang w:val="es-AR" w:eastAsia="es-AR"/>
        </w:rPr>
        <w:t>e San Salvador de Jujuy, sala 2da, 11-11-2005, S., R.T. c/C., S. S/DESALOJO” R</w:t>
      </w:r>
      <w:r w:rsidR="004E27F1">
        <w:rPr>
          <w:rFonts w:ascii="Arial" w:hAnsi="Arial" w:cs="Arial"/>
          <w:bCs/>
          <w:szCs w:val="24"/>
          <w:lang w:val="es-AR" w:eastAsia="es-AR"/>
        </w:rPr>
        <w:t>u</w:t>
      </w:r>
      <w:r w:rsidR="008C4D90">
        <w:rPr>
          <w:rFonts w:ascii="Arial" w:hAnsi="Arial" w:cs="Arial"/>
          <w:bCs/>
          <w:szCs w:val="24"/>
          <w:lang w:val="es-AR" w:eastAsia="es-AR"/>
        </w:rPr>
        <w:t>binzal</w:t>
      </w:r>
      <w:r w:rsidR="004E27F1">
        <w:rPr>
          <w:rFonts w:ascii="Arial" w:hAnsi="Arial" w:cs="Arial"/>
          <w:bCs/>
          <w:szCs w:val="24"/>
          <w:lang w:val="es-AR" w:eastAsia="es-AR"/>
        </w:rPr>
        <w:t>On</w:t>
      </w:r>
      <w:r w:rsidR="008C4D90">
        <w:rPr>
          <w:rFonts w:ascii="Arial" w:hAnsi="Arial" w:cs="Arial"/>
          <w:bCs/>
          <w:szCs w:val="24"/>
          <w:lang w:val="es-AR" w:eastAsia="es-AR"/>
        </w:rPr>
        <w:t>line, RC J 818/16</w:t>
      </w:r>
      <w:r w:rsidR="004E27F1">
        <w:rPr>
          <w:rFonts w:ascii="Arial" w:hAnsi="Arial" w:cs="Arial"/>
          <w:bCs/>
          <w:szCs w:val="24"/>
          <w:lang w:val="es-AR" w:eastAsia="es-AR"/>
        </w:rPr>
        <w:t>)</w:t>
      </w:r>
      <w:r w:rsidR="00EF613B">
        <w:rPr>
          <w:rFonts w:ascii="Arial" w:hAnsi="Arial" w:cs="Arial"/>
          <w:bCs/>
          <w:szCs w:val="24"/>
          <w:lang w:val="es-AR" w:eastAsia="es-AR"/>
        </w:rPr>
        <w:t xml:space="preserve"> (p.359)</w:t>
      </w:r>
      <w:r w:rsidR="004E27F1">
        <w:rPr>
          <w:rFonts w:ascii="Arial" w:hAnsi="Arial" w:cs="Arial"/>
          <w:bCs/>
          <w:szCs w:val="24"/>
          <w:lang w:val="es-AR" w:eastAsia="es-AR"/>
        </w:rPr>
        <w:t>.</w:t>
      </w:r>
    </w:p>
    <w:p w:rsidR="00BB2752" w:rsidRPr="00123718" w:rsidRDefault="00867B2C" w:rsidP="00123718">
      <w:pPr>
        <w:spacing w:line="360" w:lineRule="auto"/>
        <w:ind w:left="-284" w:right="-234"/>
        <w:jc w:val="both"/>
        <w:rPr>
          <w:rFonts w:ascii="Arial" w:hAnsi="Arial" w:cs="Arial"/>
          <w:bCs/>
          <w:szCs w:val="24"/>
        </w:rPr>
      </w:pPr>
      <w:r w:rsidRPr="00123718">
        <w:rPr>
          <w:rFonts w:ascii="Arial" w:hAnsi="Arial" w:cs="Arial"/>
          <w:bCs/>
          <w:szCs w:val="24"/>
        </w:rPr>
        <w:t>S</w:t>
      </w:r>
      <w:r w:rsidR="00BB2752" w:rsidRPr="00123718">
        <w:rPr>
          <w:rFonts w:ascii="Arial" w:hAnsi="Arial" w:cs="Arial"/>
          <w:bCs/>
          <w:szCs w:val="24"/>
        </w:rPr>
        <w:t xml:space="preserve">i entendiéramos </w:t>
      </w:r>
      <w:r w:rsidRPr="00123718">
        <w:rPr>
          <w:rFonts w:ascii="Arial" w:hAnsi="Arial" w:cs="Arial"/>
          <w:bCs/>
          <w:szCs w:val="24"/>
        </w:rPr>
        <w:t xml:space="preserve">que el plazo máximo establecido en el artículo 526 resulta aplicable </w:t>
      </w:r>
      <w:r w:rsidR="001F0435" w:rsidRPr="00123718">
        <w:rPr>
          <w:rFonts w:ascii="Arial" w:hAnsi="Arial" w:cs="Arial"/>
          <w:bCs/>
          <w:szCs w:val="24"/>
        </w:rPr>
        <w:t>existiendo</w:t>
      </w:r>
      <w:r w:rsidRPr="00123718">
        <w:rPr>
          <w:rFonts w:ascii="Arial" w:hAnsi="Arial" w:cs="Arial"/>
          <w:bCs/>
          <w:szCs w:val="24"/>
        </w:rPr>
        <w:t xml:space="preserve"> hijos menores</w:t>
      </w:r>
      <w:r w:rsidR="001F0435" w:rsidRPr="00123718">
        <w:rPr>
          <w:rFonts w:ascii="Arial" w:hAnsi="Arial" w:cs="Arial"/>
          <w:bCs/>
          <w:szCs w:val="24"/>
        </w:rPr>
        <w:t xml:space="preserve"> de edad, ello</w:t>
      </w:r>
      <w:r w:rsidR="00BB2752" w:rsidRPr="00123718">
        <w:rPr>
          <w:rFonts w:ascii="Arial" w:hAnsi="Arial" w:cs="Arial"/>
          <w:bCs/>
          <w:szCs w:val="24"/>
        </w:rPr>
        <w:t xml:space="preserve"> implicaría que el nuevo Código Civil y Comercial en el punto en cuestión, pese a sus grande</w:t>
      </w:r>
      <w:r w:rsidR="00B24A03" w:rsidRPr="00123718">
        <w:rPr>
          <w:rFonts w:ascii="Arial" w:hAnsi="Arial" w:cs="Arial"/>
          <w:bCs/>
          <w:szCs w:val="24"/>
        </w:rPr>
        <w:t>s avances en materia de familia dejaría un gran vacío</w:t>
      </w:r>
      <w:r w:rsidR="00F24851" w:rsidRPr="00123718">
        <w:rPr>
          <w:rFonts w:ascii="Arial" w:hAnsi="Arial" w:cs="Arial"/>
          <w:bCs/>
          <w:szCs w:val="24"/>
        </w:rPr>
        <w:t xml:space="preserve"> y desigualdad </w:t>
      </w:r>
      <w:r w:rsidR="00BB2752" w:rsidRPr="00123718">
        <w:rPr>
          <w:rFonts w:ascii="Arial" w:hAnsi="Arial" w:cs="Arial"/>
          <w:bCs/>
          <w:szCs w:val="24"/>
        </w:rPr>
        <w:t xml:space="preserve">referente a la protección de la vivienda para los </w:t>
      </w:r>
      <w:r w:rsidR="00B24A03" w:rsidRPr="00123718">
        <w:rPr>
          <w:rFonts w:ascii="Arial" w:hAnsi="Arial" w:cs="Arial"/>
          <w:bCs/>
          <w:szCs w:val="24"/>
        </w:rPr>
        <w:t>hijos nacidos de éstas uniones.</w:t>
      </w:r>
      <w:r w:rsidR="00BB2752" w:rsidRPr="00123718">
        <w:rPr>
          <w:rFonts w:ascii="Arial" w:hAnsi="Arial" w:cs="Arial"/>
          <w:bCs/>
          <w:szCs w:val="24"/>
        </w:rPr>
        <w:t xml:space="preserve"> Claramente existiría una inequidad o injusticia del sistema que se manifestaría en la discriminación y trato desigual entre hijos extra o matrimoniales que arduamente la doctrina y jurisprudencia actualizada venían pregonando por su total eliminación. </w:t>
      </w:r>
    </w:p>
    <w:p w:rsidR="00BB2752" w:rsidRPr="00123718" w:rsidRDefault="00BB2752" w:rsidP="00123718">
      <w:pPr>
        <w:spacing w:line="360" w:lineRule="auto"/>
        <w:ind w:left="-284" w:right="-234"/>
        <w:jc w:val="both"/>
        <w:rPr>
          <w:rFonts w:ascii="Arial" w:hAnsi="Arial" w:cs="Arial"/>
          <w:bCs/>
          <w:szCs w:val="24"/>
        </w:rPr>
      </w:pPr>
      <w:r w:rsidRPr="00123718">
        <w:rPr>
          <w:rFonts w:ascii="Arial" w:hAnsi="Arial" w:cs="Arial"/>
          <w:bCs/>
          <w:szCs w:val="24"/>
        </w:rPr>
        <w:t>Además, entender el artículo de ese modo conllevaría a considerarlo inconstitucional ya que atentaría contra el principio de igualdad ante la ley que plasma el artículo</w:t>
      </w:r>
      <w:r w:rsidR="001F0435" w:rsidRPr="00123718">
        <w:rPr>
          <w:rFonts w:ascii="Arial" w:hAnsi="Arial" w:cs="Arial"/>
          <w:bCs/>
          <w:szCs w:val="24"/>
        </w:rPr>
        <w:t xml:space="preserve"> 16 de la Constitución </w:t>
      </w:r>
      <w:r w:rsidRPr="00123718">
        <w:rPr>
          <w:rFonts w:ascii="Arial" w:hAnsi="Arial" w:cs="Arial"/>
          <w:bCs/>
          <w:szCs w:val="24"/>
        </w:rPr>
        <w:t>N</w:t>
      </w:r>
      <w:r w:rsidR="001F0435" w:rsidRPr="00123718">
        <w:rPr>
          <w:rFonts w:ascii="Arial" w:hAnsi="Arial" w:cs="Arial"/>
          <w:bCs/>
          <w:szCs w:val="24"/>
        </w:rPr>
        <w:t>acional</w:t>
      </w:r>
      <w:r w:rsidRPr="00123718">
        <w:rPr>
          <w:rFonts w:ascii="Arial" w:hAnsi="Arial" w:cs="Arial"/>
          <w:bCs/>
          <w:szCs w:val="24"/>
        </w:rPr>
        <w:t xml:space="preserve"> y los tratados internacionales con jerarquía constitucional artículo 75 inciso 22) </w:t>
      </w:r>
      <w:r w:rsidR="001F0435" w:rsidRPr="00123718">
        <w:rPr>
          <w:rFonts w:ascii="Arial" w:hAnsi="Arial" w:cs="Arial"/>
          <w:bCs/>
          <w:szCs w:val="24"/>
        </w:rPr>
        <w:t>de la misma</w:t>
      </w:r>
      <w:r w:rsidRPr="00123718">
        <w:rPr>
          <w:rFonts w:ascii="Arial" w:hAnsi="Arial" w:cs="Arial"/>
          <w:bCs/>
          <w:szCs w:val="24"/>
        </w:rPr>
        <w:t xml:space="preserve">, en especial el artículo 2 inciso 2) de la Convención sobre </w:t>
      </w:r>
      <w:r w:rsidR="00F01360">
        <w:rPr>
          <w:rFonts w:ascii="Arial" w:hAnsi="Arial" w:cs="Arial"/>
          <w:bCs/>
          <w:szCs w:val="24"/>
        </w:rPr>
        <w:t xml:space="preserve">los </w:t>
      </w:r>
      <w:r w:rsidRPr="00123718">
        <w:rPr>
          <w:rFonts w:ascii="Arial" w:hAnsi="Arial" w:cs="Arial"/>
          <w:bCs/>
          <w:szCs w:val="24"/>
        </w:rPr>
        <w:t>Derechos del Niño.</w:t>
      </w:r>
    </w:p>
    <w:p w:rsidR="00BB2752" w:rsidRPr="00123718" w:rsidRDefault="00BB2752" w:rsidP="00123718">
      <w:pPr>
        <w:widowControl/>
        <w:spacing w:line="360" w:lineRule="auto"/>
        <w:ind w:left="-284" w:right="-234"/>
        <w:jc w:val="both"/>
        <w:rPr>
          <w:rFonts w:ascii="Arial" w:hAnsi="Arial" w:cs="Arial"/>
          <w:bCs/>
          <w:szCs w:val="24"/>
          <w:lang w:val="es-AR" w:eastAsia="es-AR"/>
        </w:rPr>
      </w:pPr>
      <w:r w:rsidRPr="00123718">
        <w:rPr>
          <w:rFonts w:ascii="Arial" w:hAnsi="Arial" w:cs="Arial"/>
          <w:bCs/>
          <w:szCs w:val="24"/>
          <w:lang w:val="es-AR" w:eastAsia="es-AR"/>
        </w:rPr>
        <w:t>Asimismo, esta interpretación</w:t>
      </w:r>
      <w:r w:rsidR="001F0435" w:rsidRPr="00123718">
        <w:rPr>
          <w:rFonts w:ascii="Arial" w:hAnsi="Arial" w:cs="Arial"/>
          <w:bCs/>
          <w:szCs w:val="24"/>
          <w:lang w:val="es-AR" w:eastAsia="es-AR"/>
        </w:rPr>
        <w:t xml:space="preserve"> se contradeciría t</w:t>
      </w:r>
      <w:r w:rsidRPr="00123718">
        <w:rPr>
          <w:rFonts w:ascii="Arial" w:hAnsi="Arial" w:cs="Arial"/>
          <w:bCs/>
          <w:szCs w:val="24"/>
          <w:lang w:val="es-AR" w:eastAsia="es-AR"/>
        </w:rPr>
        <w:t xml:space="preserve">ambién con el propio Código ya que el principio de igualdad de los hijos se encuentra reconocido expresamente en el </w:t>
      </w:r>
      <w:r w:rsidR="00F24851" w:rsidRPr="00123718">
        <w:rPr>
          <w:rFonts w:ascii="Arial" w:hAnsi="Arial" w:cs="Arial"/>
          <w:bCs/>
          <w:szCs w:val="24"/>
          <w:lang w:val="es-AR" w:eastAsia="es-AR"/>
        </w:rPr>
        <w:t>artículo 558.</w:t>
      </w:r>
    </w:p>
    <w:p w:rsidR="005934DA" w:rsidRDefault="00546502" w:rsidP="00123718">
      <w:pPr>
        <w:widowControl/>
        <w:spacing w:line="360" w:lineRule="auto"/>
        <w:ind w:left="-284" w:right="-234"/>
        <w:jc w:val="both"/>
        <w:rPr>
          <w:rFonts w:ascii="Arial" w:hAnsi="Arial" w:cs="Arial"/>
          <w:bCs/>
          <w:szCs w:val="24"/>
          <w:lang w:val="es-AR" w:eastAsia="es-AR"/>
        </w:rPr>
      </w:pPr>
      <w:r>
        <w:rPr>
          <w:rFonts w:ascii="Arial" w:hAnsi="Arial" w:cs="Arial"/>
          <w:bCs/>
          <w:szCs w:val="24"/>
          <w:lang w:val="es-AR" w:eastAsia="es-AR"/>
        </w:rPr>
        <w:t>L</w:t>
      </w:r>
      <w:r w:rsidR="005934DA" w:rsidRPr="00123718">
        <w:rPr>
          <w:rFonts w:ascii="Arial" w:hAnsi="Arial" w:cs="Arial"/>
          <w:bCs/>
          <w:szCs w:val="24"/>
          <w:lang w:val="es-AR" w:eastAsia="es-AR"/>
        </w:rPr>
        <w:t>a Jurisprudencia se ha ido expidiendo al respecto:</w:t>
      </w:r>
    </w:p>
    <w:p w:rsidR="00F24851" w:rsidRPr="00123718" w:rsidRDefault="001F0435" w:rsidP="00C9264A">
      <w:pPr>
        <w:spacing w:line="360" w:lineRule="auto"/>
        <w:ind w:left="709" w:right="-232"/>
        <w:jc w:val="both"/>
        <w:rPr>
          <w:rFonts w:ascii="Arial" w:eastAsiaTheme="minorHAnsi" w:hAnsi="Arial" w:cs="Arial"/>
          <w:szCs w:val="24"/>
          <w:lang w:val="es-AR" w:eastAsia="en-US"/>
        </w:rPr>
      </w:pPr>
      <w:r w:rsidRPr="00123718">
        <w:rPr>
          <w:rFonts w:ascii="Arial" w:eastAsiaTheme="minorHAnsi" w:hAnsi="Arial" w:cs="Arial"/>
          <w:i/>
          <w:szCs w:val="24"/>
          <w:lang w:val="es-AR" w:eastAsia="en-US"/>
        </w:rPr>
        <w:t xml:space="preserve">“Se modifica la sentencia apelada en lo que respecta al plazo de dos años fijado para la atribución de la vivienda familiar, otorgada a la madre y los hijos menores de edad, por cuanto ese plazo dispuesto por el art. 526, Código Civil y Comercial, rige para las relaciones entre los convivientes adultos, pero bajo ningún aspecto puede comprender a los hijos menores de edad, con capacidad restringida o discapacidad, puesto que el contenido de la prestación por alimentos que se fija a su favor, debe comprender expresamente el rubro habitación (art. 659, Código Civil y Comercial), de ahí que en estos supuestos, para la atribución de la vivienda </w:t>
      </w:r>
      <w:r w:rsidRPr="00123718">
        <w:rPr>
          <w:rFonts w:ascii="Arial" w:eastAsiaTheme="minorHAnsi" w:hAnsi="Arial" w:cs="Arial"/>
          <w:i/>
          <w:szCs w:val="24"/>
          <w:lang w:val="es-AR" w:eastAsia="en-US"/>
        </w:rPr>
        <w:lastRenderedPageBreak/>
        <w:t xml:space="preserve">familiar, no corresponda establecer plazo alguno. Cabe agregar, que al respecto el art. 14 bis, Constitución Nacional, que garantiza la protección integral de la familia y el acceso a una vivienda digna; en igual sentido los arts. 2, 18 y 27, Convención de los </w:t>
      </w:r>
      <w:r w:rsidR="00F01360">
        <w:rPr>
          <w:rFonts w:ascii="Arial" w:eastAsiaTheme="minorHAnsi" w:hAnsi="Arial" w:cs="Arial"/>
          <w:i/>
          <w:szCs w:val="24"/>
          <w:lang w:val="es-AR" w:eastAsia="en-US"/>
        </w:rPr>
        <w:t>D</w:t>
      </w:r>
      <w:r w:rsidRPr="00123718">
        <w:rPr>
          <w:rFonts w:ascii="Arial" w:eastAsiaTheme="minorHAnsi" w:hAnsi="Arial" w:cs="Arial"/>
          <w:i/>
          <w:szCs w:val="24"/>
          <w:lang w:val="es-AR" w:eastAsia="en-US"/>
        </w:rPr>
        <w:t>erechos del Niño, de los que se deriva que la decisión adoptada -de no establecer un plazo para la atribución de la vivienda familiar- resguarda debidamente el "interés superior del niño"…”.</w:t>
      </w:r>
      <w:r w:rsidR="005B5C1C" w:rsidRPr="00123718">
        <w:rPr>
          <w:rStyle w:val="Refdenotaalpie"/>
          <w:rFonts w:ascii="Arial" w:eastAsiaTheme="minorHAnsi" w:hAnsi="Arial" w:cs="Arial"/>
          <w:i/>
          <w:szCs w:val="24"/>
          <w:lang w:val="es-AR" w:eastAsia="en-US"/>
        </w:rPr>
        <w:footnoteReference w:id="3"/>
      </w:r>
    </w:p>
    <w:p w:rsidR="00BB2752" w:rsidRDefault="00584C48" w:rsidP="00123718">
      <w:pPr>
        <w:spacing w:line="360" w:lineRule="auto"/>
        <w:ind w:left="-284" w:right="-232"/>
        <w:jc w:val="both"/>
        <w:rPr>
          <w:rFonts w:ascii="Arial" w:eastAsiaTheme="minorHAnsi" w:hAnsi="Arial" w:cs="Arial"/>
          <w:szCs w:val="24"/>
          <w:lang w:val="es-AR" w:eastAsia="en-US"/>
        </w:rPr>
      </w:pPr>
      <w:r w:rsidRPr="00123718">
        <w:rPr>
          <w:rFonts w:ascii="Arial" w:eastAsiaTheme="minorHAnsi" w:hAnsi="Arial" w:cs="Arial"/>
          <w:szCs w:val="24"/>
          <w:lang w:val="es-AR" w:eastAsia="en-US"/>
        </w:rPr>
        <w:t>Similar análisis efectúa el Juzgado de Familia NºSeis de la Provincia de Buenos Aires en autos “S.M.L. C/R.M.A. S/MATERIA A CATEGORIZAR”, Registro Nº 121-S Folio Nº612/639, 16</w:t>
      </w:r>
      <w:r w:rsidR="00206591">
        <w:rPr>
          <w:rFonts w:ascii="Arial" w:eastAsiaTheme="minorHAnsi" w:hAnsi="Arial" w:cs="Arial"/>
          <w:szCs w:val="24"/>
          <w:lang w:val="es-AR" w:eastAsia="en-US"/>
        </w:rPr>
        <w:t xml:space="preserve"> de mayo de 2018.</w:t>
      </w:r>
    </w:p>
    <w:p w:rsidR="00206591" w:rsidRDefault="00206591" w:rsidP="00123718">
      <w:pPr>
        <w:spacing w:line="360" w:lineRule="auto"/>
        <w:ind w:left="-284" w:right="-232"/>
        <w:jc w:val="both"/>
        <w:rPr>
          <w:rFonts w:ascii="Arial" w:eastAsiaTheme="minorHAnsi" w:hAnsi="Arial" w:cs="Arial"/>
          <w:szCs w:val="24"/>
          <w:lang w:val="es-AR" w:eastAsia="en-US"/>
        </w:rPr>
      </w:pPr>
      <w:r>
        <w:rPr>
          <w:rFonts w:ascii="Arial" w:eastAsiaTheme="minorHAnsi" w:hAnsi="Arial" w:cs="Arial"/>
          <w:szCs w:val="24"/>
          <w:lang w:val="es-AR" w:eastAsia="en-US"/>
        </w:rPr>
        <w:t xml:space="preserve">Bacigalupo de Girard, M. (2004) mucho antes de la sanción del Código Civil y Comercial referenciaba en palabras de Cecilia Grosman: </w:t>
      </w:r>
    </w:p>
    <w:p w:rsidR="00206591" w:rsidRPr="00123718" w:rsidRDefault="00206591" w:rsidP="00206591">
      <w:pPr>
        <w:spacing w:line="360" w:lineRule="auto"/>
        <w:ind w:left="709" w:right="-232" w:hanging="993"/>
        <w:jc w:val="both"/>
        <w:rPr>
          <w:rFonts w:ascii="Arial" w:eastAsiaTheme="minorHAnsi" w:hAnsi="Arial" w:cs="Arial"/>
          <w:szCs w:val="24"/>
          <w:lang w:val="es-AR" w:eastAsia="en-US"/>
        </w:rPr>
      </w:pPr>
      <w:r>
        <w:rPr>
          <w:rFonts w:ascii="Arial" w:eastAsiaTheme="minorHAnsi" w:hAnsi="Arial" w:cs="Arial"/>
          <w:szCs w:val="24"/>
          <w:lang w:val="es-AR" w:eastAsia="en-US"/>
        </w:rPr>
        <w:tab/>
        <w:t>La tutela constitucional de la familia, que abarca su amparo social, económico y jurídico, exige regulaciones y políticas públicas que aseguren dicha protección, trátese de una familia originada en el matrimonio o de una convivencia de pareja. Por ello, la atribución de la vivienda cuando hubiese hijos de la unión debe recibir el mismo tratamiento que en el supuesto del matrimonio (Grosman C., 2004, p.209).</w:t>
      </w:r>
    </w:p>
    <w:p w:rsidR="005934DA" w:rsidRPr="00123718" w:rsidRDefault="005934DA" w:rsidP="00123718">
      <w:pPr>
        <w:widowControl/>
        <w:spacing w:line="360" w:lineRule="auto"/>
        <w:ind w:left="-284" w:right="-234"/>
        <w:jc w:val="both"/>
        <w:rPr>
          <w:rFonts w:ascii="Arial" w:hAnsi="Arial" w:cs="Arial"/>
          <w:bCs/>
          <w:szCs w:val="24"/>
          <w:lang w:val="es-AR" w:eastAsia="es-AR"/>
        </w:rPr>
      </w:pPr>
      <w:r w:rsidRPr="00123718">
        <w:rPr>
          <w:rFonts w:ascii="Arial" w:hAnsi="Arial" w:cs="Arial"/>
          <w:bCs/>
          <w:szCs w:val="24"/>
          <w:lang w:val="es-AR" w:eastAsia="es-AR"/>
        </w:rPr>
        <w:t xml:space="preserve">Ahora bien, más allá de la normativa de fondo mencionada </w:t>
      </w:r>
      <w:r w:rsidR="00584C48" w:rsidRPr="00123718">
        <w:rPr>
          <w:rFonts w:ascii="Arial" w:hAnsi="Arial" w:cs="Arial"/>
          <w:bCs/>
          <w:szCs w:val="24"/>
          <w:lang w:val="es-AR" w:eastAsia="es-AR"/>
        </w:rPr>
        <w:t>y los</w:t>
      </w:r>
      <w:r w:rsidR="00546502">
        <w:rPr>
          <w:rFonts w:ascii="Arial" w:hAnsi="Arial" w:cs="Arial"/>
          <w:bCs/>
          <w:szCs w:val="24"/>
          <w:lang w:val="es-AR" w:eastAsia="es-AR"/>
        </w:rPr>
        <w:t xml:space="preserve"> comentarios y fallos</w:t>
      </w:r>
      <w:r w:rsidR="00F24851" w:rsidRPr="00123718">
        <w:rPr>
          <w:rFonts w:ascii="Arial" w:hAnsi="Arial" w:cs="Arial"/>
          <w:bCs/>
          <w:szCs w:val="24"/>
          <w:lang w:val="es-AR" w:eastAsia="es-AR"/>
        </w:rPr>
        <w:t>citados</w:t>
      </w:r>
      <w:r w:rsidR="00584C48" w:rsidRPr="00123718">
        <w:rPr>
          <w:rFonts w:ascii="Arial" w:hAnsi="Arial" w:cs="Arial"/>
          <w:bCs/>
          <w:szCs w:val="24"/>
          <w:lang w:val="es-AR" w:eastAsia="es-AR"/>
        </w:rPr>
        <w:t xml:space="preserve">, </w:t>
      </w:r>
      <w:r w:rsidRPr="00123718">
        <w:rPr>
          <w:rFonts w:ascii="Arial" w:hAnsi="Arial" w:cs="Arial"/>
          <w:bCs/>
          <w:szCs w:val="24"/>
          <w:lang w:val="es-AR" w:eastAsia="es-AR"/>
        </w:rPr>
        <w:t>existe un plexo de derechos consagrados a nivel internacional con reconocimiento constitucional, que hacen necesaria su aplicación operativa más allá de estas disyuntivas. La aplicación de las normas de derecho internacional no es una facultad para los juec</w:t>
      </w:r>
      <w:r w:rsidR="001F0435" w:rsidRPr="00123718">
        <w:rPr>
          <w:rFonts w:ascii="Arial" w:hAnsi="Arial" w:cs="Arial"/>
          <w:bCs/>
          <w:szCs w:val="24"/>
          <w:lang w:val="es-AR" w:eastAsia="es-AR"/>
        </w:rPr>
        <w:t xml:space="preserve">es sino un deber impuesto (artículos </w:t>
      </w:r>
      <w:r w:rsidRPr="00123718">
        <w:rPr>
          <w:rFonts w:ascii="Arial" w:hAnsi="Arial" w:cs="Arial"/>
          <w:bCs/>
          <w:szCs w:val="24"/>
          <w:lang w:val="es-AR" w:eastAsia="es-AR"/>
        </w:rPr>
        <w:t>1 y 2 del C</w:t>
      </w:r>
      <w:r w:rsidR="001F0435" w:rsidRPr="00123718">
        <w:rPr>
          <w:rFonts w:ascii="Arial" w:hAnsi="Arial" w:cs="Arial"/>
          <w:bCs/>
          <w:szCs w:val="24"/>
          <w:lang w:val="es-AR" w:eastAsia="es-AR"/>
        </w:rPr>
        <w:t>ódigo Civil y Comercial</w:t>
      </w:r>
      <w:r w:rsidRPr="00123718">
        <w:rPr>
          <w:rFonts w:ascii="Arial" w:hAnsi="Arial" w:cs="Arial"/>
          <w:bCs/>
          <w:szCs w:val="24"/>
          <w:lang w:val="es-AR" w:eastAsia="es-AR"/>
        </w:rPr>
        <w:t>)</w:t>
      </w:r>
      <w:r w:rsidR="00F24851" w:rsidRPr="00123718">
        <w:rPr>
          <w:rFonts w:ascii="Arial" w:hAnsi="Arial" w:cs="Arial"/>
          <w:bCs/>
          <w:szCs w:val="24"/>
          <w:lang w:val="es-AR" w:eastAsia="es-AR"/>
        </w:rPr>
        <w:t>.</w:t>
      </w:r>
    </w:p>
    <w:p w:rsidR="005934DA" w:rsidRPr="00123718" w:rsidRDefault="005934DA" w:rsidP="00123718">
      <w:pPr>
        <w:widowControl/>
        <w:spacing w:line="360" w:lineRule="auto"/>
        <w:ind w:left="-284" w:right="-234"/>
        <w:jc w:val="both"/>
        <w:rPr>
          <w:rFonts w:ascii="Arial" w:hAnsi="Arial" w:cs="Arial"/>
          <w:bCs/>
          <w:szCs w:val="24"/>
          <w:lang w:val="es-AR" w:eastAsia="es-AR"/>
        </w:rPr>
      </w:pPr>
      <w:r w:rsidRPr="00123718">
        <w:rPr>
          <w:rFonts w:ascii="Arial" w:hAnsi="Arial" w:cs="Arial"/>
          <w:bCs/>
          <w:szCs w:val="24"/>
          <w:lang w:val="es-AR" w:eastAsia="es-AR"/>
        </w:rPr>
        <w:t xml:space="preserve">En virtud de ello, cobra relevancia el tan mentado interés superior del niñoreceptado por el Código Civil y Comercial </w:t>
      </w:r>
      <w:r w:rsidR="001F0435" w:rsidRPr="00123718">
        <w:rPr>
          <w:rFonts w:ascii="Arial" w:hAnsi="Arial" w:cs="Arial"/>
          <w:bCs/>
          <w:szCs w:val="24"/>
          <w:lang w:val="es-AR" w:eastAsia="es-AR"/>
        </w:rPr>
        <w:t>(artículo</w:t>
      </w:r>
      <w:r w:rsidRPr="00123718">
        <w:rPr>
          <w:rFonts w:ascii="Arial" w:hAnsi="Arial" w:cs="Arial"/>
          <w:bCs/>
          <w:szCs w:val="24"/>
          <w:lang w:val="es-AR" w:eastAsia="es-AR"/>
        </w:rPr>
        <w:t xml:space="preserve"> 639), Convención de</w:t>
      </w:r>
      <w:r w:rsidR="002E2CD5">
        <w:rPr>
          <w:rFonts w:ascii="Arial" w:hAnsi="Arial" w:cs="Arial"/>
          <w:bCs/>
          <w:szCs w:val="24"/>
          <w:lang w:val="es-AR" w:eastAsia="es-AR"/>
        </w:rPr>
        <w:t xml:space="preserve"> los Derechos del Niño y Ley </w:t>
      </w:r>
      <w:r w:rsidR="00F01360">
        <w:rPr>
          <w:rFonts w:ascii="Arial" w:hAnsi="Arial" w:cs="Arial"/>
          <w:bCs/>
          <w:szCs w:val="24"/>
          <w:lang w:val="es-AR" w:eastAsia="es-AR"/>
        </w:rPr>
        <w:t>N</w:t>
      </w:r>
      <w:r w:rsidR="002E2CD5">
        <w:rPr>
          <w:rFonts w:ascii="Arial" w:hAnsi="Arial" w:cs="Arial"/>
          <w:bCs/>
          <w:szCs w:val="24"/>
          <w:lang w:val="es-AR" w:eastAsia="es-AR"/>
        </w:rPr>
        <w:t>°26061.</w:t>
      </w:r>
    </w:p>
    <w:p w:rsidR="0043040F" w:rsidRDefault="0043040F" w:rsidP="00123718">
      <w:pPr>
        <w:widowControl/>
        <w:spacing w:line="360" w:lineRule="auto"/>
        <w:ind w:left="-284" w:right="-232"/>
        <w:jc w:val="both"/>
        <w:rPr>
          <w:rFonts w:ascii="Arial" w:hAnsi="Arial" w:cs="Arial"/>
          <w:bCs/>
          <w:szCs w:val="24"/>
          <w:lang w:val="es-AR" w:eastAsia="es-AR"/>
        </w:rPr>
      </w:pPr>
      <w:r>
        <w:rPr>
          <w:rFonts w:ascii="Arial" w:hAnsi="Arial" w:cs="Arial"/>
          <w:bCs/>
          <w:szCs w:val="24"/>
          <w:lang w:val="es-AR" w:eastAsia="es-AR"/>
        </w:rPr>
        <w:t>En el Congreso Internacional de Derecho de las Familias Niñez y Adolescencia</w:t>
      </w:r>
      <w:r w:rsidR="00F01360">
        <w:rPr>
          <w:rFonts w:ascii="Arial" w:hAnsi="Arial" w:cs="Arial"/>
          <w:bCs/>
          <w:szCs w:val="24"/>
          <w:lang w:val="es-AR" w:eastAsia="es-AR"/>
        </w:rPr>
        <w:t xml:space="preserve"> se sostuvo de lege</w:t>
      </w:r>
      <w:r>
        <w:rPr>
          <w:rFonts w:ascii="Arial" w:hAnsi="Arial" w:cs="Arial"/>
          <w:bCs/>
          <w:szCs w:val="24"/>
          <w:lang w:val="es-AR" w:eastAsia="es-AR"/>
        </w:rPr>
        <w:t xml:space="preserve"> lata que:</w:t>
      </w:r>
      <w:r w:rsidR="00F72D18">
        <w:rPr>
          <w:rFonts w:ascii="Arial" w:hAnsi="Arial" w:cs="Arial"/>
          <w:bCs/>
          <w:szCs w:val="24"/>
          <w:lang w:val="es-AR" w:eastAsia="es-AR"/>
        </w:rPr>
        <w:t xml:space="preserve"> “En virtud de lo dispuesto por la Convención sobre los Derechos del Niño (art. 2° inc.2), los arts. 2, 558 párrafo segundo</w:t>
      </w:r>
      <w:r w:rsidR="00F01360">
        <w:rPr>
          <w:rFonts w:ascii="Arial" w:hAnsi="Arial" w:cs="Arial"/>
          <w:bCs/>
          <w:szCs w:val="24"/>
          <w:lang w:val="es-AR" w:eastAsia="es-AR"/>
        </w:rPr>
        <w:t xml:space="preserve"> y 659 del C</w:t>
      </w:r>
      <w:r w:rsidR="00F72D18">
        <w:rPr>
          <w:rFonts w:ascii="Arial" w:hAnsi="Arial" w:cs="Arial"/>
          <w:bCs/>
          <w:szCs w:val="24"/>
          <w:lang w:val="es-AR" w:eastAsia="es-AR"/>
        </w:rPr>
        <w:t>ódigo</w:t>
      </w:r>
      <w:r w:rsidR="00F01360">
        <w:rPr>
          <w:rFonts w:ascii="Arial" w:hAnsi="Arial" w:cs="Arial"/>
          <w:bCs/>
          <w:szCs w:val="24"/>
          <w:lang w:val="es-AR" w:eastAsia="es-AR"/>
        </w:rPr>
        <w:t xml:space="preserve"> Civil</w:t>
      </w:r>
      <w:r w:rsidR="00F72D18">
        <w:rPr>
          <w:rFonts w:ascii="Arial" w:hAnsi="Arial" w:cs="Arial"/>
          <w:bCs/>
          <w:szCs w:val="24"/>
          <w:lang w:val="es-AR" w:eastAsia="es-AR"/>
        </w:rPr>
        <w:t xml:space="preserve"> y </w:t>
      </w:r>
      <w:r w:rsidR="00F01360">
        <w:rPr>
          <w:rFonts w:ascii="Arial" w:hAnsi="Arial" w:cs="Arial"/>
          <w:bCs/>
          <w:szCs w:val="24"/>
          <w:lang w:val="es-AR" w:eastAsia="es-AR"/>
        </w:rPr>
        <w:t>C</w:t>
      </w:r>
      <w:r w:rsidR="00F72D18">
        <w:rPr>
          <w:rFonts w:ascii="Arial" w:hAnsi="Arial" w:cs="Arial"/>
          <w:bCs/>
          <w:szCs w:val="24"/>
          <w:lang w:val="es-AR" w:eastAsia="es-AR"/>
        </w:rPr>
        <w:t xml:space="preserve">omercial corresponde interpretar que el límite de dos años previsto en el art. 526 no rige cuando </w:t>
      </w:r>
      <w:r w:rsidR="00EE721E">
        <w:rPr>
          <w:rFonts w:ascii="Arial" w:hAnsi="Arial" w:cs="Arial"/>
          <w:bCs/>
          <w:szCs w:val="24"/>
          <w:lang w:val="es-AR" w:eastAsia="es-AR"/>
        </w:rPr>
        <w:t xml:space="preserve">la vivienda se atribuye al ex conviviente que tiene a su cargo el cuidado de los hijos menores de edad, con capacidad restringida, o con discapacidad” y “Se reputa inconstitucional el </w:t>
      </w:r>
      <w:r w:rsidR="00EE721E">
        <w:rPr>
          <w:rFonts w:ascii="Arial" w:hAnsi="Arial" w:cs="Arial"/>
          <w:bCs/>
          <w:szCs w:val="24"/>
          <w:lang w:val="es-AR" w:eastAsia="es-AR"/>
        </w:rPr>
        <w:lastRenderedPageBreak/>
        <w:t>plazo de dos años establecido respecto del inc. a) del art. 526 por considerarlo discriminatorio respecto de los hijos matrimoniales –frente a los cuales no se computan plazos- y de los habidos en unión convivencial”.</w:t>
      </w:r>
      <w:r w:rsidR="000B0828">
        <w:rPr>
          <w:rStyle w:val="Refdenotaalpie"/>
          <w:rFonts w:ascii="Arial" w:hAnsi="Arial" w:cs="Arial"/>
          <w:bCs/>
          <w:szCs w:val="24"/>
          <w:lang w:val="es-AR" w:eastAsia="es-AR"/>
        </w:rPr>
        <w:footnoteReference w:id="4"/>
      </w:r>
    </w:p>
    <w:p w:rsidR="00340DF3" w:rsidRPr="00340DF3" w:rsidRDefault="00340DF3" w:rsidP="00340DF3">
      <w:pPr>
        <w:widowControl/>
        <w:spacing w:line="360" w:lineRule="auto"/>
        <w:ind w:left="-284" w:right="-232"/>
        <w:jc w:val="both"/>
        <w:rPr>
          <w:rFonts w:ascii="Arial" w:hAnsi="Arial" w:cs="Arial"/>
          <w:bCs/>
          <w:szCs w:val="24"/>
          <w:lang w:val="es-AR" w:eastAsia="es-AR"/>
        </w:rPr>
      </w:pPr>
      <w:r>
        <w:rPr>
          <w:rFonts w:ascii="Arial" w:hAnsi="Arial" w:cs="Arial"/>
          <w:bCs/>
          <w:szCs w:val="24"/>
          <w:lang w:val="es-AR" w:eastAsia="es-AR"/>
        </w:rPr>
        <w:t>Claramente</w:t>
      </w:r>
      <w:r w:rsidRPr="00340DF3">
        <w:rPr>
          <w:rFonts w:ascii="Arial" w:hAnsi="Arial" w:cs="Arial"/>
          <w:bCs/>
          <w:szCs w:val="24"/>
          <w:lang w:val="es-AR" w:eastAsia="es-AR"/>
        </w:rPr>
        <w:t xml:space="preserve"> la interpretación integral y sistemática del Código Civil y Comercial desde la perspectiva del derecho internacional constitucional/convencional y en consecuencia de los derechos humanos, no deja lugar a dudas que la atribución del uso de la vivienda cuando cesa la unión convivencial existiendo hija/os menores de edad, debe ser resuelto a la luz de la obligación alimentaria en el marco de la responsabilidad parental de sus progenitores.</w:t>
      </w:r>
    </w:p>
    <w:p w:rsidR="00340DF3" w:rsidRPr="00123718" w:rsidRDefault="00340DF3" w:rsidP="00340DF3">
      <w:pPr>
        <w:widowControl/>
        <w:spacing w:line="360" w:lineRule="auto"/>
        <w:ind w:left="-284" w:right="-232"/>
        <w:jc w:val="both"/>
        <w:rPr>
          <w:rFonts w:ascii="Arial" w:hAnsi="Arial" w:cs="Arial"/>
          <w:bCs/>
          <w:szCs w:val="24"/>
          <w:lang w:val="es-AR" w:eastAsia="es-AR"/>
        </w:rPr>
      </w:pPr>
      <w:r w:rsidRPr="00340DF3">
        <w:rPr>
          <w:rFonts w:ascii="Arial" w:hAnsi="Arial" w:cs="Arial"/>
          <w:bCs/>
          <w:szCs w:val="24"/>
          <w:lang w:val="es-AR" w:eastAsia="es-AR"/>
        </w:rPr>
        <w:t>No obstante la ampliación de derechos mencionada, tal extensión normativa exige un correlato que aprecie el aspecto sociológico de las normas y tiene que ver con su eficacia, su práctica, la interpretación y aplicación de las mismas que efectúan los operadores jurídicos. Por ello, este Código obliga a éstos a llevar a cabo una interpretación y aplicación del ordenamiento no descontextualizada, es decir, teniendo en cuenta fundamentalmente los artículos 1, 2, 9 y, en el derecho de familia: 706, 709 y 710.</w:t>
      </w:r>
    </w:p>
    <w:p w:rsidR="00F07769" w:rsidRDefault="00F07769" w:rsidP="00EF613B">
      <w:pPr>
        <w:pStyle w:val="Textonotapie"/>
        <w:jc w:val="both"/>
        <w:rPr>
          <w:rFonts w:ascii="Arial" w:hAnsi="Arial" w:cs="Arial"/>
          <w:lang w:val="es-AR"/>
        </w:rPr>
      </w:pPr>
    </w:p>
    <w:p w:rsidR="00F07769" w:rsidRPr="00F07769" w:rsidRDefault="00F07769" w:rsidP="00F07769">
      <w:pPr>
        <w:pStyle w:val="Textonotapie"/>
        <w:ind w:left="-284"/>
        <w:jc w:val="both"/>
        <w:rPr>
          <w:rFonts w:ascii="Arial" w:hAnsi="Arial" w:cs="Arial"/>
          <w:b/>
          <w:sz w:val="24"/>
          <w:szCs w:val="24"/>
        </w:rPr>
      </w:pPr>
      <w:r w:rsidRPr="00F07769">
        <w:rPr>
          <w:rFonts w:ascii="Arial" w:hAnsi="Arial" w:cs="Arial"/>
          <w:b/>
          <w:sz w:val="24"/>
          <w:szCs w:val="24"/>
        </w:rPr>
        <w:t>Bibliografía citada:</w:t>
      </w:r>
    </w:p>
    <w:p w:rsidR="00F07769" w:rsidRPr="00F07769" w:rsidRDefault="00F07769" w:rsidP="00F07769">
      <w:pPr>
        <w:pStyle w:val="Textonotapie"/>
        <w:ind w:left="-284"/>
        <w:jc w:val="both"/>
        <w:rPr>
          <w:rFonts w:ascii="Arial" w:hAnsi="Arial" w:cs="Arial"/>
          <w:sz w:val="24"/>
          <w:szCs w:val="24"/>
        </w:rPr>
      </w:pPr>
    </w:p>
    <w:p w:rsidR="00206591" w:rsidRDefault="00206591" w:rsidP="00F01360">
      <w:pPr>
        <w:pStyle w:val="Textonotapie"/>
        <w:spacing w:line="360" w:lineRule="auto"/>
        <w:ind w:left="-284"/>
        <w:jc w:val="both"/>
        <w:rPr>
          <w:rFonts w:ascii="Arial" w:hAnsi="Arial" w:cs="Arial"/>
          <w:sz w:val="24"/>
          <w:szCs w:val="24"/>
        </w:rPr>
      </w:pPr>
      <w:r>
        <w:rPr>
          <w:rFonts w:ascii="Arial" w:hAnsi="Arial" w:cs="Arial"/>
          <w:sz w:val="24"/>
          <w:szCs w:val="24"/>
        </w:rPr>
        <w:tab/>
        <w:t xml:space="preserve">GROSMAN, Cecilia, 2004, </w:t>
      </w:r>
      <w:r w:rsidRPr="00206591">
        <w:rPr>
          <w:rFonts w:ascii="Arial" w:hAnsi="Arial" w:cs="Arial"/>
          <w:i/>
          <w:sz w:val="24"/>
          <w:szCs w:val="24"/>
        </w:rPr>
        <w:t>Alimentos a los hijos y derechos humanos</w:t>
      </w:r>
      <w:r>
        <w:rPr>
          <w:rFonts w:ascii="Arial" w:hAnsi="Arial" w:cs="Arial"/>
          <w:sz w:val="24"/>
          <w:szCs w:val="24"/>
        </w:rPr>
        <w:t>, Ed. Universidad.</w:t>
      </w:r>
    </w:p>
    <w:p w:rsidR="00206591" w:rsidRDefault="00206591" w:rsidP="00F01360">
      <w:pPr>
        <w:pStyle w:val="Textonotapie"/>
        <w:spacing w:line="360" w:lineRule="auto"/>
        <w:ind w:left="-284"/>
        <w:jc w:val="both"/>
        <w:rPr>
          <w:rFonts w:ascii="Arial" w:hAnsi="Arial" w:cs="Arial"/>
          <w:sz w:val="24"/>
          <w:szCs w:val="24"/>
        </w:rPr>
      </w:pPr>
      <w:r>
        <w:rPr>
          <w:rFonts w:ascii="Arial" w:hAnsi="Arial" w:cs="Arial"/>
          <w:sz w:val="24"/>
          <w:szCs w:val="24"/>
        </w:rPr>
        <w:tab/>
      </w:r>
      <w:r w:rsidR="00EF613B" w:rsidRPr="00F07769">
        <w:rPr>
          <w:rFonts w:ascii="Arial" w:hAnsi="Arial" w:cs="Arial"/>
          <w:sz w:val="24"/>
          <w:szCs w:val="24"/>
        </w:rPr>
        <w:t>KEMALMAJER DE CARLUCCI, Aída y Mariel F. MOLINA DE JUAN</w:t>
      </w:r>
      <w:r>
        <w:rPr>
          <w:rFonts w:ascii="Arial" w:hAnsi="Arial" w:cs="Arial"/>
          <w:sz w:val="24"/>
          <w:szCs w:val="24"/>
        </w:rPr>
        <w:t xml:space="preserve">, 2015, </w:t>
      </w:r>
      <w:r w:rsidR="00EF613B" w:rsidRPr="00F07769">
        <w:rPr>
          <w:rFonts w:ascii="Arial" w:hAnsi="Arial" w:cs="Arial"/>
          <w:sz w:val="24"/>
          <w:szCs w:val="24"/>
        </w:rPr>
        <w:t xml:space="preserve">“La Protección de la vivienda de niños, niñas y adolescentes en el Código Civil y Comercial”. </w:t>
      </w:r>
      <w:r w:rsidR="00EF613B" w:rsidRPr="00F07769">
        <w:rPr>
          <w:rFonts w:ascii="Arial" w:hAnsi="Arial" w:cs="Arial"/>
          <w:i/>
          <w:sz w:val="24"/>
          <w:szCs w:val="24"/>
        </w:rPr>
        <w:t>Actualización Jurídica Iberoamericana, núm. 2</w:t>
      </w:r>
      <w:r w:rsidR="00676A8F">
        <w:rPr>
          <w:rFonts w:ascii="Arial" w:hAnsi="Arial" w:cs="Arial"/>
          <w:sz w:val="24"/>
          <w:szCs w:val="24"/>
        </w:rPr>
        <w:t>.</w:t>
      </w:r>
    </w:p>
    <w:p w:rsidR="00EF613B" w:rsidRPr="00F07769" w:rsidRDefault="00206591" w:rsidP="00F01360">
      <w:pPr>
        <w:pStyle w:val="Textonotapie"/>
        <w:spacing w:line="360" w:lineRule="auto"/>
        <w:ind w:left="-284"/>
        <w:jc w:val="both"/>
        <w:rPr>
          <w:rFonts w:ascii="Arial" w:hAnsi="Arial" w:cs="Arial"/>
          <w:sz w:val="24"/>
          <w:szCs w:val="24"/>
        </w:rPr>
      </w:pPr>
      <w:r>
        <w:rPr>
          <w:rFonts w:ascii="Arial" w:hAnsi="Arial" w:cs="Arial"/>
          <w:sz w:val="24"/>
          <w:szCs w:val="24"/>
        </w:rPr>
        <w:tab/>
      </w:r>
      <w:r w:rsidR="00EF613B" w:rsidRPr="00F07769">
        <w:rPr>
          <w:rFonts w:ascii="Arial" w:hAnsi="Arial" w:cs="Arial"/>
          <w:sz w:val="24"/>
          <w:szCs w:val="24"/>
        </w:rPr>
        <w:t xml:space="preserve">PELLEGRINI, María Victoria, </w:t>
      </w:r>
      <w:r>
        <w:rPr>
          <w:rFonts w:ascii="Arial" w:hAnsi="Arial" w:cs="Arial"/>
          <w:sz w:val="24"/>
          <w:szCs w:val="24"/>
        </w:rPr>
        <w:t xml:space="preserve">2019, </w:t>
      </w:r>
      <w:r w:rsidR="00EF613B" w:rsidRPr="00F07769">
        <w:rPr>
          <w:rFonts w:ascii="Arial" w:hAnsi="Arial" w:cs="Arial"/>
          <w:i/>
          <w:sz w:val="24"/>
          <w:szCs w:val="24"/>
        </w:rPr>
        <w:t>Código Civil y Comercial explicado, Derecho de Familia, Tomo I</w:t>
      </w:r>
      <w:r w:rsidR="00EF613B" w:rsidRPr="00F07769">
        <w:rPr>
          <w:rFonts w:ascii="Arial" w:hAnsi="Arial" w:cs="Arial"/>
          <w:sz w:val="24"/>
          <w:szCs w:val="24"/>
        </w:rPr>
        <w:t>, Lorenzetti, Ricardo Director General, Herrera Marisa Directora, RubinzalCulzoni</w:t>
      </w:r>
      <w:r>
        <w:rPr>
          <w:rFonts w:ascii="Arial" w:hAnsi="Arial" w:cs="Arial"/>
          <w:sz w:val="24"/>
          <w:szCs w:val="24"/>
        </w:rPr>
        <w:t>.</w:t>
      </w:r>
    </w:p>
    <w:sectPr w:rsidR="00EF613B" w:rsidRPr="00F07769" w:rsidSect="00E10F89">
      <w:pgSz w:w="12240" w:h="15840"/>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7E98" w:rsidRDefault="00AA7E98" w:rsidP="005B5C1C">
      <w:r>
        <w:separator/>
      </w:r>
    </w:p>
  </w:endnote>
  <w:endnote w:type="continuationSeparator" w:id="1">
    <w:p w:rsidR="00AA7E98" w:rsidRDefault="00AA7E98" w:rsidP="005B5C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7E98" w:rsidRDefault="00AA7E98" w:rsidP="005B5C1C">
      <w:r>
        <w:separator/>
      </w:r>
    </w:p>
  </w:footnote>
  <w:footnote w:type="continuationSeparator" w:id="1">
    <w:p w:rsidR="00AA7E98" w:rsidRDefault="00AA7E98" w:rsidP="005B5C1C">
      <w:r>
        <w:continuationSeparator/>
      </w:r>
    </w:p>
  </w:footnote>
  <w:footnote w:id="2">
    <w:p w:rsidR="006C5F1D" w:rsidRPr="006C5F1D" w:rsidRDefault="006C5F1D" w:rsidP="006C5F1D">
      <w:pPr>
        <w:autoSpaceDE w:val="0"/>
        <w:autoSpaceDN w:val="0"/>
        <w:adjustRightInd w:val="0"/>
        <w:spacing w:line="360" w:lineRule="auto"/>
        <w:ind w:left="-284" w:right="-234"/>
        <w:jc w:val="both"/>
        <w:rPr>
          <w:rFonts w:ascii="Arial" w:hAnsi="Arial" w:cs="Arial"/>
          <w:i/>
          <w:sz w:val="20"/>
          <w:lang w:val="es-AR"/>
        </w:rPr>
      </w:pPr>
      <w:r>
        <w:rPr>
          <w:rStyle w:val="Refdenotaalpie"/>
        </w:rPr>
        <w:footnoteRef/>
      </w:r>
      <w:r w:rsidRPr="006C5F1D">
        <w:rPr>
          <w:rFonts w:ascii="Arial" w:hAnsi="Arial" w:cs="Arial"/>
          <w:i/>
          <w:sz w:val="20"/>
          <w:lang w:val="es-AR"/>
        </w:rPr>
        <w:t>Silvana Rodríguez Musso</w:t>
      </w:r>
    </w:p>
    <w:p w:rsidR="006C5F1D" w:rsidRPr="006C5F1D" w:rsidRDefault="006C5F1D">
      <w:pPr>
        <w:pStyle w:val="Textonotapie"/>
        <w:rPr>
          <w:lang w:val="es-ES"/>
        </w:rPr>
      </w:pPr>
      <w:bookmarkStart w:id="0" w:name="_GoBack"/>
      <w:bookmarkEnd w:id="0"/>
    </w:p>
  </w:footnote>
  <w:footnote w:id="3">
    <w:p w:rsidR="005B5C1C" w:rsidRPr="005B5C1C" w:rsidRDefault="005B5C1C" w:rsidP="005B5C1C">
      <w:pPr>
        <w:pStyle w:val="Textonotapie"/>
        <w:jc w:val="both"/>
        <w:rPr>
          <w:rFonts w:ascii="Arial" w:hAnsi="Arial" w:cs="Arial"/>
          <w:sz w:val="18"/>
          <w:szCs w:val="18"/>
          <w:lang w:val="es-AR"/>
        </w:rPr>
      </w:pPr>
      <w:r>
        <w:rPr>
          <w:rStyle w:val="Refdenotaalpie"/>
        </w:rPr>
        <w:footnoteRef/>
      </w:r>
      <w:r w:rsidRPr="005B5C1C">
        <w:rPr>
          <w:rFonts w:ascii="Arial" w:hAnsi="Arial" w:cs="Arial"/>
          <w:sz w:val="18"/>
          <w:szCs w:val="18"/>
        </w:rPr>
        <w:t>M., C. M. y otros vs. D., D. A. s. Alimentos, Cámara Nacional de Apelaciones en lo Civil Sala D, 08-09-2017; RC J 6752/17</w:t>
      </w:r>
      <w:r w:rsidR="00723B88">
        <w:rPr>
          <w:rFonts w:ascii="Arial" w:hAnsi="Arial" w:cs="Arial"/>
          <w:sz w:val="18"/>
          <w:szCs w:val="18"/>
        </w:rPr>
        <w:t>, RubinzalOn line</w:t>
      </w:r>
      <w:r w:rsidRPr="005B5C1C">
        <w:rPr>
          <w:rFonts w:ascii="Arial" w:hAnsi="Arial" w:cs="Arial"/>
          <w:sz w:val="18"/>
          <w:szCs w:val="18"/>
        </w:rPr>
        <w:t>.</w:t>
      </w:r>
    </w:p>
  </w:footnote>
  <w:footnote w:id="4">
    <w:p w:rsidR="000B0828" w:rsidRPr="000B0828" w:rsidRDefault="000B0828" w:rsidP="000B0828">
      <w:pPr>
        <w:pStyle w:val="Textonotapie"/>
        <w:jc w:val="both"/>
        <w:rPr>
          <w:rFonts w:ascii="Arial" w:hAnsi="Arial" w:cs="Arial"/>
          <w:lang w:val="es-AR"/>
        </w:rPr>
      </w:pPr>
      <w:r w:rsidRPr="000B0828">
        <w:rPr>
          <w:rStyle w:val="Refdenotaalpie"/>
          <w:rFonts w:ascii="Arial" w:hAnsi="Arial" w:cs="Arial"/>
        </w:rPr>
        <w:footnoteRef/>
      </w:r>
      <w:r w:rsidRPr="000B0828">
        <w:rPr>
          <w:rFonts w:ascii="Arial" w:hAnsi="Arial" w:cs="Arial"/>
          <w:lang w:val="es-AR"/>
        </w:rPr>
        <w:t>Conclusiones Comisión n°5, en Congreso Internacional de Derecho de las Familias Niñez y Adolescencia, Mendoza, 9 y1</w:t>
      </w:r>
      <w:r>
        <w:rPr>
          <w:rFonts w:ascii="Arial" w:hAnsi="Arial" w:cs="Arial"/>
          <w:lang w:val="es-AR"/>
        </w:rPr>
        <w:t>0</w:t>
      </w:r>
      <w:r w:rsidRPr="000B0828">
        <w:rPr>
          <w:rFonts w:ascii="Arial" w:hAnsi="Arial" w:cs="Arial"/>
          <w:lang w:val="es-AR"/>
        </w:rPr>
        <w:t xml:space="preserve"> de Agosto de 2018, www.congresoderechodefamiliasmendoza.com/conclusiones/.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64A21"/>
    <w:multiLevelType w:val="hybridMultilevel"/>
    <w:tmpl w:val="DB5E2CDC"/>
    <w:lvl w:ilvl="0" w:tplc="F0463320">
      <w:start w:val="1"/>
      <w:numFmt w:val="lowerLetter"/>
      <w:lvlText w:val="%1)"/>
      <w:lvlJc w:val="left"/>
      <w:pPr>
        <w:ind w:left="2975" w:hanging="1275"/>
      </w:pPr>
      <w:rPr>
        <w:rFonts w:hint="default"/>
      </w:rPr>
    </w:lvl>
    <w:lvl w:ilvl="1" w:tplc="0C0A0019" w:tentative="1">
      <w:start w:val="1"/>
      <w:numFmt w:val="lowerLetter"/>
      <w:lvlText w:val="%2."/>
      <w:lvlJc w:val="left"/>
      <w:pPr>
        <w:ind w:left="2780" w:hanging="360"/>
      </w:pPr>
    </w:lvl>
    <w:lvl w:ilvl="2" w:tplc="0C0A001B" w:tentative="1">
      <w:start w:val="1"/>
      <w:numFmt w:val="lowerRoman"/>
      <w:lvlText w:val="%3."/>
      <w:lvlJc w:val="right"/>
      <w:pPr>
        <w:ind w:left="3500" w:hanging="180"/>
      </w:pPr>
    </w:lvl>
    <w:lvl w:ilvl="3" w:tplc="0C0A000F" w:tentative="1">
      <w:start w:val="1"/>
      <w:numFmt w:val="decimal"/>
      <w:lvlText w:val="%4."/>
      <w:lvlJc w:val="left"/>
      <w:pPr>
        <w:ind w:left="4220" w:hanging="360"/>
      </w:pPr>
    </w:lvl>
    <w:lvl w:ilvl="4" w:tplc="0C0A0019" w:tentative="1">
      <w:start w:val="1"/>
      <w:numFmt w:val="lowerLetter"/>
      <w:lvlText w:val="%5."/>
      <w:lvlJc w:val="left"/>
      <w:pPr>
        <w:ind w:left="4940" w:hanging="360"/>
      </w:pPr>
    </w:lvl>
    <w:lvl w:ilvl="5" w:tplc="0C0A001B" w:tentative="1">
      <w:start w:val="1"/>
      <w:numFmt w:val="lowerRoman"/>
      <w:lvlText w:val="%6."/>
      <w:lvlJc w:val="right"/>
      <w:pPr>
        <w:ind w:left="5660" w:hanging="180"/>
      </w:pPr>
    </w:lvl>
    <w:lvl w:ilvl="6" w:tplc="0C0A000F" w:tentative="1">
      <w:start w:val="1"/>
      <w:numFmt w:val="decimal"/>
      <w:lvlText w:val="%7."/>
      <w:lvlJc w:val="left"/>
      <w:pPr>
        <w:ind w:left="6380" w:hanging="360"/>
      </w:pPr>
    </w:lvl>
    <w:lvl w:ilvl="7" w:tplc="0C0A0019" w:tentative="1">
      <w:start w:val="1"/>
      <w:numFmt w:val="lowerLetter"/>
      <w:lvlText w:val="%8."/>
      <w:lvlJc w:val="left"/>
      <w:pPr>
        <w:ind w:left="7100" w:hanging="360"/>
      </w:pPr>
    </w:lvl>
    <w:lvl w:ilvl="8" w:tplc="0C0A001B" w:tentative="1">
      <w:start w:val="1"/>
      <w:numFmt w:val="lowerRoman"/>
      <w:lvlText w:val="%9."/>
      <w:lvlJc w:val="right"/>
      <w:pPr>
        <w:ind w:left="78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D468C"/>
    <w:rsid w:val="00001774"/>
    <w:rsid w:val="000017A7"/>
    <w:rsid w:val="00005C93"/>
    <w:rsid w:val="000105C5"/>
    <w:rsid w:val="00013F5E"/>
    <w:rsid w:val="000326EB"/>
    <w:rsid w:val="0005757D"/>
    <w:rsid w:val="000664F7"/>
    <w:rsid w:val="0007263C"/>
    <w:rsid w:val="000808C7"/>
    <w:rsid w:val="000B0828"/>
    <w:rsid w:val="000B79C7"/>
    <w:rsid w:val="000C3CE3"/>
    <w:rsid w:val="000D41A6"/>
    <w:rsid w:val="000E568C"/>
    <w:rsid w:val="001104D0"/>
    <w:rsid w:val="00123718"/>
    <w:rsid w:val="00142ACB"/>
    <w:rsid w:val="00143B78"/>
    <w:rsid w:val="00143F76"/>
    <w:rsid w:val="0015307F"/>
    <w:rsid w:val="00154F1F"/>
    <w:rsid w:val="001554FD"/>
    <w:rsid w:val="00155A72"/>
    <w:rsid w:val="001664F9"/>
    <w:rsid w:val="00166A4A"/>
    <w:rsid w:val="00182F9E"/>
    <w:rsid w:val="001924D7"/>
    <w:rsid w:val="001B6FD7"/>
    <w:rsid w:val="001F0435"/>
    <w:rsid w:val="00206591"/>
    <w:rsid w:val="002077A4"/>
    <w:rsid w:val="00207829"/>
    <w:rsid w:val="00236EC4"/>
    <w:rsid w:val="0024223D"/>
    <w:rsid w:val="00263141"/>
    <w:rsid w:val="0029519B"/>
    <w:rsid w:val="002A2736"/>
    <w:rsid w:val="002B7F7D"/>
    <w:rsid w:val="002D60C0"/>
    <w:rsid w:val="002E2CD5"/>
    <w:rsid w:val="002E40F9"/>
    <w:rsid w:val="002E58B3"/>
    <w:rsid w:val="002F496B"/>
    <w:rsid w:val="003400AF"/>
    <w:rsid w:val="00340DF3"/>
    <w:rsid w:val="003431D0"/>
    <w:rsid w:val="003602E4"/>
    <w:rsid w:val="00360E95"/>
    <w:rsid w:val="00375FFC"/>
    <w:rsid w:val="003A4ADC"/>
    <w:rsid w:val="003C44F7"/>
    <w:rsid w:val="003C4571"/>
    <w:rsid w:val="003D246C"/>
    <w:rsid w:val="003D2D11"/>
    <w:rsid w:val="003F4BAD"/>
    <w:rsid w:val="00405A5D"/>
    <w:rsid w:val="0040629A"/>
    <w:rsid w:val="0041197F"/>
    <w:rsid w:val="00413CCA"/>
    <w:rsid w:val="0043040F"/>
    <w:rsid w:val="0045731C"/>
    <w:rsid w:val="0046177A"/>
    <w:rsid w:val="0047332A"/>
    <w:rsid w:val="004774A0"/>
    <w:rsid w:val="00495664"/>
    <w:rsid w:val="004967E4"/>
    <w:rsid w:val="00497412"/>
    <w:rsid w:val="004A3EA0"/>
    <w:rsid w:val="004A684D"/>
    <w:rsid w:val="004A7C76"/>
    <w:rsid w:val="004E1010"/>
    <w:rsid w:val="004E27F1"/>
    <w:rsid w:val="004F35CA"/>
    <w:rsid w:val="004F53FB"/>
    <w:rsid w:val="00502D58"/>
    <w:rsid w:val="00503825"/>
    <w:rsid w:val="00511B29"/>
    <w:rsid w:val="005279A3"/>
    <w:rsid w:val="00535158"/>
    <w:rsid w:val="00540077"/>
    <w:rsid w:val="00546502"/>
    <w:rsid w:val="0055064E"/>
    <w:rsid w:val="00557688"/>
    <w:rsid w:val="00561509"/>
    <w:rsid w:val="00566B3C"/>
    <w:rsid w:val="005822C2"/>
    <w:rsid w:val="00584C48"/>
    <w:rsid w:val="005934DA"/>
    <w:rsid w:val="005A4C8B"/>
    <w:rsid w:val="005B5C1C"/>
    <w:rsid w:val="005C6688"/>
    <w:rsid w:val="005D4834"/>
    <w:rsid w:val="005F50EE"/>
    <w:rsid w:val="005F7D95"/>
    <w:rsid w:val="00600C42"/>
    <w:rsid w:val="00604DA3"/>
    <w:rsid w:val="0063205E"/>
    <w:rsid w:val="00634104"/>
    <w:rsid w:val="006508B1"/>
    <w:rsid w:val="006537AA"/>
    <w:rsid w:val="00657F4E"/>
    <w:rsid w:val="00661747"/>
    <w:rsid w:val="00676811"/>
    <w:rsid w:val="00676A8F"/>
    <w:rsid w:val="00677738"/>
    <w:rsid w:val="00685F68"/>
    <w:rsid w:val="006870A6"/>
    <w:rsid w:val="0069754E"/>
    <w:rsid w:val="006B0788"/>
    <w:rsid w:val="006B18B4"/>
    <w:rsid w:val="006B1CE7"/>
    <w:rsid w:val="006C33A9"/>
    <w:rsid w:val="006C5F1D"/>
    <w:rsid w:val="006C64FC"/>
    <w:rsid w:val="006F3CC5"/>
    <w:rsid w:val="006F4BA4"/>
    <w:rsid w:val="00700612"/>
    <w:rsid w:val="00703F3F"/>
    <w:rsid w:val="00707F4C"/>
    <w:rsid w:val="00711242"/>
    <w:rsid w:val="00721EE2"/>
    <w:rsid w:val="0072367E"/>
    <w:rsid w:val="00723B88"/>
    <w:rsid w:val="0072430E"/>
    <w:rsid w:val="00745E7B"/>
    <w:rsid w:val="00750300"/>
    <w:rsid w:val="00756F2E"/>
    <w:rsid w:val="0075721A"/>
    <w:rsid w:val="00761301"/>
    <w:rsid w:val="00781E7E"/>
    <w:rsid w:val="007A25D7"/>
    <w:rsid w:val="007A75B9"/>
    <w:rsid w:val="007B3593"/>
    <w:rsid w:val="007C2B07"/>
    <w:rsid w:val="007C7F78"/>
    <w:rsid w:val="00816C3F"/>
    <w:rsid w:val="008318D4"/>
    <w:rsid w:val="0084489F"/>
    <w:rsid w:val="008535ED"/>
    <w:rsid w:val="0085567C"/>
    <w:rsid w:val="00867B2C"/>
    <w:rsid w:val="00884935"/>
    <w:rsid w:val="00891A3E"/>
    <w:rsid w:val="00894EDF"/>
    <w:rsid w:val="008A3F42"/>
    <w:rsid w:val="008A7178"/>
    <w:rsid w:val="008C4D90"/>
    <w:rsid w:val="008D16DE"/>
    <w:rsid w:val="008E7947"/>
    <w:rsid w:val="008F1802"/>
    <w:rsid w:val="00906902"/>
    <w:rsid w:val="009260C7"/>
    <w:rsid w:val="00926A2D"/>
    <w:rsid w:val="0099133F"/>
    <w:rsid w:val="00992CD1"/>
    <w:rsid w:val="009975FB"/>
    <w:rsid w:val="009A121D"/>
    <w:rsid w:val="009A473E"/>
    <w:rsid w:val="009B0420"/>
    <w:rsid w:val="009B0C83"/>
    <w:rsid w:val="009C2653"/>
    <w:rsid w:val="009E080B"/>
    <w:rsid w:val="009F6B32"/>
    <w:rsid w:val="00A20EF8"/>
    <w:rsid w:val="00A3227F"/>
    <w:rsid w:val="00A45486"/>
    <w:rsid w:val="00A46616"/>
    <w:rsid w:val="00A54FF6"/>
    <w:rsid w:val="00A74316"/>
    <w:rsid w:val="00A75D67"/>
    <w:rsid w:val="00A850D8"/>
    <w:rsid w:val="00AA7E98"/>
    <w:rsid w:val="00AB11E5"/>
    <w:rsid w:val="00AF2C32"/>
    <w:rsid w:val="00AF7522"/>
    <w:rsid w:val="00B035FD"/>
    <w:rsid w:val="00B24A03"/>
    <w:rsid w:val="00B35C81"/>
    <w:rsid w:val="00B47069"/>
    <w:rsid w:val="00B51468"/>
    <w:rsid w:val="00B8142D"/>
    <w:rsid w:val="00B90AB1"/>
    <w:rsid w:val="00B94CFB"/>
    <w:rsid w:val="00B969B7"/>
    <w:rsid w:val="00BA3B2A"/>
    <w:rsid w:val="00BB2752"/>
    <w:rsid w:val="00BD40C6"/>
    <w:rsid w:val="00BE1C44"/>
    <w:rsid w:val="00BF1106"/>
    <w:rsid w:val="00C07478"/>
    <w:rsid w:val="00C253E3"/>
    <w:rsid w:val="00C262B7"/>
    <w:rsid w:val="00C35B88"/>
    <w:rsid w:val="00C51D12"/>
    <w:rsid w:val="00C65DE1"/>
    <w:rsid w:val="00C66CE5"/>
    <w:rsid w:val="00C66EED"/>
    <w:rsid w:val="00C71116"/>
    <w:rsid w:val="00C7398E"/>
    <w:rsid w:val="00C7454A"/>
    <w:rsid w:val="00C87C0D"/>
    <w:rsid w:val="00C9264A"/>
    <w:rsid w:val="00C9440C"/>
    <w:rsid w:val="00C95A6F"/>
    <w:rsid w:val="00CA2F6A"/>
    <w:rsid w:val="00CA712D"/>
    <w:rsid w:val="00CD1D77"/>
    <w:rsid w:val="00CD54EF"/>
    <w:rsid w:val="00CF4871"/>
    <w:rsid w:val="00D038F7"/>
    <w:rsid w:val="00D12A8C"/>
    <w:rsid w:val="00D22078"/>
    <w:rsid w:val="00D87A3B"/>
    <w:rsid w:val="00D9464F"/>
    <w:rsid w:val="00D961F7"/>
    <w:rsid w:val="00DA1D1A"/>
    <w:rsid w:val="00DA4D46"/>
    <w:rsid w:val="00DB38A7"/>
    <w:rsid w:val="00DB4C53"/>
    <w:rsid w:val="00DC0200"/>
    <w:rsid w:val="00DC7873"/>
    <w:rsid w:val="00E00FE6"/>
    <w:rsid w:val="00E10F89"/>
    <w:rsid w:val="00E21B41"/>
    <w:rsid w:val="00E9137D"/>
    <w:rsid w:val="00ED105A"/>
    <w:rsid w:val="00ED468C"/>
    <w:rsid w:val="00EE721E"/>
    <w:rsid w:val="00EF44C4"/>
    <w:rsid w:val="00EF613B"/>
    <w:rsid w:val="00F00F05"/>
    <w:rsid w:val="00F01360"/>
    <w:rsid w:val="00F04A49"/>
    <w:rsid w:val="00F07769"/>
    <w:rsid w:val="00F2070A"/>
    <w:rsid w:val="00F24851"/>
    <w:rsid w:val="00F36362"/>
    <w:rsid w:val="00F40D3B"/>
    <w:rsid w:val="00F71A2C"/>
    <w:rsid w:val="00F72D18"/>
    <w:rsid w:val="00F77BB5"/>
    <w:rsid w:val="00F814F5"/>
    <w:rsid w:val="00F92DBD"/>
    <w:rsid w:val="00FA186C"/>
    <w:rsid w:val="00FA544A"/>
    <w:rsid w:val="00FC521C"/>
    <w:rsid w:val="00FF1EC8"/>
    <w:rsid w:val="00FF4A53"/>
    <w:rsid w:val="00FF6E5E"/>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68C"/>
    <w:pPr>
      <w:widowControl w:val="0"/>
      <w:spacing w:after="0" w:line="240" w:lineRule="auto"/>
    </w:pPr>
    <w:rPr>
      <w:rFonts w:ascii="Courier New" w:eastAsia="Times New Roman" w:hAnsi="Courier New" w:cs="Times New Roman"/>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508B1"/>
    <w:rPr>
      <w:color w:val="0000FF" w:themeColor="hyperlink"/>
      <w:u w:val="single"/>
    </w:rPr>
  </w:style>
  <w:style w:type="paragraph" w:styleId="Prrafodelista">
    <w:name w:val="List Paragraph"/>
    <w:basedOn w:val="Normal"/>
    <w:uiPriority w:val="34"/>
    <w:qFormat/>
    <w:rsid w:val="000808C7"/>
    <w:pPr>
      <w:ind w:left="720"/>
      <w:contextualSpacing/>
    </w:pPr>
  </w:style>
  <w:style w:type="paragraph" w:styleId="Textonotapie">
    <w:name w:val="footnote text"/>
    <w:basedOn w:val="Normal"/>
    <w:link w:val="TextonotapieCar"/>
    <w:uiPriority w:val="99"/>
    <w:semiHidden/>
    <w:unhideWhenUsed/>
    <w:rsid w:val="005B5C1C"/>
    <w:rPr>
      <w:sz w:val="20"/>
    </w:rPr>
  </w:style>
  <w:style w:type="character" w:customStyle="1" w:styleId="TextonotapieCar">
    <w:name w:val="Texto nota pie Car"/>
    <w:basedOn w:val="Fuentedeprrafopredeter"/>
    <w:link w:val="Textonotapie"/>
    <w:uiPriority w:val="99"/>
    <w:semiHidden/>
    <w:rsid w:val="005B5C1C"/>
    <w:rPr>
      <w:rFonts w:ascii="Courier New" w:eastAsia="Times New Roman" w:hAnsi="Courier New" w:cs="Times New Roman"/>
      <w:sz w:val="20"/>
      <w:szCs w:val="20"/>
      <w:lang w:val="es-ES_tradnl" w:eastAsia="es-ES"/>
    </w:rPr>
  </w:style>
  <w:style w:type="character" w:styleId="Refdenotaalpie">
    <w:name w:val="footnote reference"/>
    <w:basedOn w:val="Fuentedeprrafopredeter"/>
    <w:uiPriority w:val="99"/>
    <w:semiHidden/>
    <w:unhideWhenUsed/>
    <w:rsid w:val="005B5C1C"/>
    <w:rPr>
      <w:vertAlign w:val="superscript"/>
    </w:rPr>
  </w:style>
  <w:style w:type="paragraph" w:styleId="Textonotaalfinal">
    <w:name w:val="endnote text"/>
    <w:basedOn w:val="Normal"/>
    <w:link w:val="TextonotaalfinalCar"/>
    <w:uiPriority w:val="99"/>
    <w:semiHidden/>
    <w:unhideWhenUsed/>
    <w:rsid w:val="006C5F1D"/>
    <w:rPr>
      <w:sz w:val="20"/>
    </w:rPr>
  </w:style>
  <w:style w:type="character" w:customStyle="1" w:styleId="TextonotaalfinalCar">
    <w:name w:val="Texto nota al final Car"/>
    <w:basedOn w:val="Fuentedeprrafopredeter"/>
    <w:link w:val="Textonotaalfinal"/>
    <w:uiPriority w:val="99"/>
    <w:semiHidden/>
    <w:rsid w:val="006C5F1D"/>
    <w:rPr>
      <w:rFonts w:ascii="Courier New" w:eastAsia="Times New Roman" w:hAnsi="Courier New" w:cs="Times New Roman"/>
      <w:sz w:val="20"/>
      <w:szCs w:val="20"/>
      <w:lang w:val="es-ES_tradnl" w:eastAsia="es-ES"/>
    </w:rPr>
  </w:style>
  <w:style w:type="character" w:styleId="Refdenotaalfinal">
    <w:name w:val="endnote reference"/>
    <w:basedOn w:val="Fuentedeprrafopredeter"/>
    <w:uiPriority w:val="99"/>
    <w:semiHidden/>
    <w:unhideWhenUsed/>
    <w:rsid w:val="006C5F1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68C"/>
    <w:pPr>
      <w:widowControl w:val="0"/>
      <w:spacing w:after="0" w:line="240" w:lineRule="auto"/>
    </w:pPr>
    <w:rPr>
      <w:rFonts w:ascii="Courier New" w:eastAsia="Times New Roman" w:hAnsi="Courier New" w:cs="Times New Roman"/>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508B1"/>
    <w:rPr>
      <w:color w:val="0000FF" w:themeColor="hyperlink"/>
      <w:u w:val="single"/>
    </w:rPr>
  </w:style>
  <w:style w:type="paragraph" w:styleId="Prrafodelista">
    <w:name w:val="List Paragraph"/>
    <w:basedOn w:val="Normal"/>
    <w:uiPriority w:val="34"/>
    <w:qFormat/>
    <w:rsid w:val="000808C7"/>
    <w:pPr>
      <w:ind w:left="720"/>
      <w:contextualSpacing/>
    </w:pPr>
  </w:style>
  <w:style w:type="paragraph" w:styleId="Textonotapie">
    <w:name w:val="footnote text"/>
    <w:basedOn w:val="Normal"/>
    <w:link w:val="TextonotapieCar"/>
    <w:uiPriority w:val="99"/>
    <w:semiHidden/>
    <w:unhideWhenUsed/>
    <w:rsid w:val="005B5C1C"/>
    <w:rPr>
      <w:sz w:val="20"/>
    </w:rPr>
  </w:style>
  <w:style w:type="character" w:customStyle="1" w:styleId="TextonotapieCar">
    <w:name w:val="Texto nota pie Car"/>
    <w:basedOn w:val="Fuentedeprrafopredeter"/>
    <w:link w:val="Textonotapie"/>
    <w:uiPriority w:val="99"/>
    <w:semiHidden/>
    <w:rsid w:val="005B5C1C"/>
    <w:rPr>
      <w:rFonts w:ascii="Courier New" w:eastAsia="Times New Roman" w:hAnsi="Courier New" w:cs="Times New Roman"/>
      <w:sz w:val="20"/>
      <w:szCs w:val="20"/>
      <w:lang w:val="es-ES_tradnl" w:eastAsia="es-ES"/>
    </w:rPr>
  </w:style>
  <w:style w:type="character" w:styleId="Refdenotaalpie">
    <w:name w:val="footnote reference"/>
    <w:basedOn w:val="Fuentedeprrafopredeter"/>
    <w:uiPriority w:val="99"/>
    <w:semiHidden/>
    <w:unhideWhenUsed/>
    <w:rsid w:val="005B5C1C"/>
    <w:rPr>
      <w:vertAlign w:val="superscript"/>
    </w:rPr>
  </w:style>
  <w:style w:type="paragraph" w:styleId="Textonotaalfinal">
    <w:name w:val="endnote text"/>
    <w:basedOn w:val="Normal"/>
    <w:link w:val="TextonotaalfinalCar"/>
    <w:uiPriority w:val="99"/>
    <w:semiHidden/>
    <w:unhideWhenUsed/>
    <w:rsid w:val="006C5F1D"/>
    <w:rPr>
      <w:sz w:val="20"/>
    </w:rPr>
  </w:style>
  <w:style w:type="character" w:customStyle="1" w:styleId="TextonotaalfinalCar">
    <w:name w:val="Texto nota al final Car"/>
    <w:basedOn w:val="Fuentedeprrafopredeter"/>
    <w:link w:val="Textonotaalfinal"/>
    <w:uiPriority w:val="99"/>
    <w:semiHidden/>
    <w:rsid w:val="006C5F1D"/>
    <w:rPr>
      <w:rFonts w:ascii="Courier New" w:eastAsia="Times New Roman" w:hAnsi="Courier New" w:cs="Times New Roman"/>
      <w:sz w:val="20"/>
      <w:szCs w:val="20"/>
      <w:lang w:val="es-ES_tradnl" w:eastAsia="es-ES"/>
    </w:rPr>
  </w:style>
  <w:style w:type="character" w:styleId="Refdenotaalfinal">
    <w:name w:val="endnote reference"/>
    <w:basedOn w:val="Fuentedeprrafopredeter"/>
    <w:uiPriority w:val="99"/>
    <w:semiHidden/>
    <w:unhideWhenUsed/>
    <w:rsid w:val="006C5F1D"/>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C8E2C-5269-4CCF-98C0-81ED2FBC2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1692</Words>
  <Characters>9306</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Silvana</dc:creator>
  <cp:lastModifiedBy>HP</cp:lastModifiedBy>
  <cp:revision>2</cp:revision>
  <cp:lastPrinted>2019-10-08T15:31:00Z</cp:lastPrinted>
  <dcterms:created xsi:type="dcterms:W3CDTF">2020-04-07T14:13:00Z</dcterms:created>
  <dcterms:modified xsi:type="dcterms:W3CDTF">2020-04-07T14:13:00Z</dcterms:modified>
</cp:coreProperties>
</file>